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5619"/>
      </w:tblGrid>
      <w:tr w:rsidR="00AB26B7" w:rsidRPr="00096105" w14:paraId="4F600913" w14:textId="77777777" w:rsidTr="00F17CC0">
        <w:tc>
          <w:tcPr>
            <w:tcW w:w="9016" w:type="dxa"/>
            <w:gridSpan w:val="2"/>
          </w:tcPr>
          <w:p w14:paraId="4A202CB5" w14:textId="438274EF" w:rsidR="00AB26B7" w:rsidRPr="00096105" w:rsidRDefault="00AB26B7" w:rsidP="00F17CC0">
            <w:pPr>
              <w:rPr>
                <w:b/>
                <w:bCs/>
              </w:rPr>
            </w:pPr>
            <w:r w:rsidRPr="00096105">
              <w:rPr>
                <w:b/>
                <w:bCs/>
              </w:rPr>
              <w:t>Execution Analysis Summary</w:t>
            </w:r>
            <w:r>
              <w:rPr>
                <w:b/>
                <w:bCs/>
              </w:rPr>
              <w:t xml:space="preserve"> -</w:t>
            </w:r>
            <w:r w:rsidRPr="00096105">
              <w:t xml:space="preserve"> </w:t>
            </w:r>
            <w:r w:rsidRPr="00AB26B7">
              <w:rPr>
                <w:b/>
                <w:bCs/>
              </w:rPr>
              <w:t>Equities</w:t>
            </w:r>
          </w:p>
        </w:tc>
      </w:tr>
      <w:tr w:rsidR="00AB26B7" w:rsidRPr="00096105" w14:paraId="40B53C4A" w14:textId="77777777" w:rsidTr="00F17CC0">
        <w:tc>
          <w:tcPr>
            <w:tcW w:w="3397" w:type="dxa"/>
          </w:tcPr>
          <w:p w14:paraId="3248F844" w14:textId="77777777" w:rsidR="00AB26B7" w:rsidRPr="00096105" w:rsidRDefault="00AB26B7" w:rsidP="00F17CC0">
            <w:r w:rsidRPr="00096105">
              <w:t>Period</w:t>
            </w:r>
          </w:p>
        </w:tc>
        <w:tc>
          <w:tcPr>
            <w:tcW w:w="5619" w:type="dxa"/>
          </w:tcPr>
          <w:p w14:paraId="346924CB" w14:textId="77777777" w:rsidR="00AB26B7" w:rsidRPr="00096105" w:rsidRDefault="00AB26B7" w:rsidP="00F17CC0">
            <w:r w:rsidRPr="00096105">
              <w:t>1 January 2019 – 31 December 2019</w:t>
            </w:r>
          </w:p>
        </w:tc>
      </w:tr>
      <w:tr w:rsidR="00AB26B7" w:rsidRPr="00096105" w14:paraId="27351981" w14:textId="77777777" w:rsidTr="00F17CC0">
        <w:tc>
          <w:tcPr>
            <w:tcW w:w="3397" w:type="dxa"/>
          </w:tcPr>
          <w:p w14:paraId="5984DAE1" w14:textId="77777777" w:rsidR="00AB26B7" w:rsidRPr="00096105" w:rsidRDefault="00AB26B7" w:rsidP="00F17CC0">
            <w:r w:rsidRPr="00096105">
              <w:t>Importance of Execution Factors</w:t>
            </w:r>
          </w:p>
        </w:tc>
        <w:tc>
          <w:tcPr>
            <w:tcW w:w="5619" w:type="dxa"/>
          </w:tcPr>
          <w:p w14:paraId="58CDDC74"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6C8F2B80" w14:textId="18B39AA0" w:rsidR="00AB26B7" w:rsidRDefault="00AB26B7" w:rsidP="00F17CC0">
            <w:r>
              <w:t>• Price (excluding external costs</w:t>
            </w:r>
            <w:r w:rsidR="00AD16F7">
              <w:t>,</w:t>
            </w:r>
            <w:r>
              <w:t xml:space="preserve">  fees and charges );</w:t>
            </w:r>
          </w:p>
          <w:p w14:paraId="4B84B3C7"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3CF1B0E2" w14:textId="77777777" w:rsidR="00AB26B7" w:rsidRDefault="00AB26B7" w:rsidP="00F17CC0">
            <w:r>
              <w:t>• Speed of execution;</w:t>
            </w:r>
          </w:p>
          <w:p w14:paraId="1F1BB4E8" w14:textId="77777777" w:rsidR="00AB26B7" w:rsidRDefault="00AB26B7" w:rsidP="00F17CC0">
            <w:r>
              <w:t>• Likelihood of execution and settlement;</w:t>
            </w:r>
          </w:p>
          <w:p w14:paraId="04F7E3DA" w14:textId="77777777" w:rsidR="00AB26B7" w:rsidRDefault="00AB26B7" w:rsidP="00F17CC0">
            <w:r>
              <w:t>• Size and nature of the order;</w:t>
            </w:r>
          </w:p>
          <w:p w14:paraId="34ECE52F" w14:textId="77777777" w:rsidR="00AB26B7" w:rsidRDefault="00AB26B7" w:rsidP="00F17CC0">
            <w:r>
              <w:t>• Likely market impact;</w:t>
            </w:r>
          </w:p>
          <w:p w14:paraId="7F20FE62" w14:textId="77777777" w:rsidR="00AB26B7" w:rsidRDefault="00AB26B7" w:rsidP="00F17CC0">
            <w:r>
              <w:t>• Nature of the market for the financial instrument; and</w:t>
            </w:r>
          </w:p>
          <w:p w14:paraId="2FCBEC4A" w14:textId="77777777" w:rsidR="00AB26B7" w:rsidRDefault="00AB26B7" w:rsidP="00F17CC0">
            <w:r>
              <w:t>• Any other consideration deemed relevant to the execution of the transaction.</w:t>
            </w:r>
          </w:p>
          <w:p w14:paraId="3D34A1EF" w14:textId="77777777" w:rsidR="00AB26B7" w:rsidRPr="00096105" w:rsidRDefault="00AB26B7" w:rsidP="00F17CC0"/>
        </w:tc>
      </w:tr>
      <w:tr w:rsidR="00AB26B7" w:rsidRPr="00096105" w14:paraId="5AFA9B99" w14:textId="77777777" w:rsidTr="00F17CC0">
        <w:tc>
          <w:tcPr>
            <w:tcW w:w="3397" w:type="dxa"/>
          </w:tcPr>
          <w:p w14:paraId="3B202EDF" w14:textId="77777777" w:rsidR="00AB26B7" w:rsidRPr="00096105" w:rsidRDefault="00AB26B7" w:rsidP="00F17CC0">
            <w:r w:rsidRPr="00096105">
              <w:t>Close links, Conflicts of Interest and Common Ownership with respect to Execution Venues</w:t>
            </w:r>
          </w:p>
        </w:tc>
        <w:tc>
          <w:tcPr>
            <w:tcW w:w="5619" w:type="dxa"/>
          </w:tcPr>
          <w:p w14:paraId="5CB30603" w14:textId="77777777" w:rsidR="00AB26B7" w:rsidRPr="00096105" w:rsidRDefault="00AB26B7" w:rsidP="00F17CC0">
            <w:r w:rsidRPr="00096105">
              <w:t>N/A</w:t>
            </w:r>
          </w:p>
        </w:tc>
      </w:tr>
      <w:tr w:rsidR="00AB26B7" w:rsidRPr="00096105" w14:paraId="653E2AA7" w14:textId="77777777" w:rsidTr="00F17CC0">
        <w:tc>
          <w:tcPr>
            <w:tcW w:w="3397" w:type="dxa"/>
          </w:tcPr>
          <w:p w14:paraId="5B3015BF"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5EBF2012" w14:textId="77777777" w:rsidR="00AB26B7" w:rsidRPr="00096105" w:rsidRDefault="00AB26B7" w:rsidP="00F17CC0">
            <w:r w:rsidRPr="00096105">
              <w:t>N/A</w:t>
            </w:r>
          </w:p>
        </w:tc>
      </w:tr>
      <w:tr w:rsidR="0002011F" w:rsidRPr="00096105" w14:paraId="61C9EECF" w14:textId="77777777" w:rsidTr="00F17CC0">
        <w:tc>
          <w:tcPr>
            <w:tcW w:w="3397" w:type="dxa"/>
          </w:tcPr>
          <w:p w14:paraId="59EB8325" w14:textId="5351075B" w:rsidR="0002011F" w:rsidRPr="00096105" w:rsidRDefault="0002011F" w:rsidP="00F17CC0">
            <w:r>
              <w:t>A</w:t>
            </w:r>
            <w:r w:rsidRPr="0002011F">
              <w:t>n explanation of the factors that led to a change in the list of execution venues listed in the firm’s execution policy, if such a change occurred</w:t>
            </w:r>
          </w:p>
        </w:tc>
        <w:tc>
          <w:tcPr>
            <w:tcW w:w="5619" w:type="dxa"/>
          </w:tcPr>
          <w:p w14:paraId="3B12F83C" w14:textId="633698F1" w:rsidR="0002011F" w:rsidRPr="00096105" w:rsidRDefault="0002011F" w:rsidP="00F17CC0">
            <w:r>
              <w:t>N/A</w:t>
            </w:r>
          </w:p>
        </w:tc>
      </w:tr>
      <w:tr w:rsidR="00AB26B7" w:rsidRPr="00096105" w14:paraId="3727ACD5" w14:textId="77777777" w:rsidTr="00F17CC0">
        <w:tc>
          <w:tcPr>
            <w:tcW w:w="3397" w:type="dxa"/>
          </w:tcPr>
          <w:p w14:paraId="1CF739E3" w14:textId="77777777" w:rsidR="00AB26B7" w:rsidRPr="00096105" w:rsidRDefault="00AB26B7" w:rsidP="00F17CC0">
            <w:r w:rsidRPr="00096105">
              <w:t>How order execution differs according to client categorisation</w:t>
            </w:r>
          </w:p>
        </w:tc>
        <w:tc>
          <w:tcPr>
            <w:tcW w:w="5619" w:type="dxa"/>
          </w:tcPr>
          <w:p w14:paraId="53747E8C" w14:textId="58726DA4" w:rsidR="00AB26B7" w:rsidRPr="00096105" w:rsidRDefault="0002011F" w:rsidP="00F17CC0">
            <w:r w:rsidRPr="00096105">
              <w:t xml:space="preserve">We do not differentiate </w:t>
            </w:r>
            <w:r>
              <w:t xml:space="preserve">approach based on </w:t>
            </w:r>
            <w:r w:rsidRPr="00096105">
              <w:t>client categorisation</w:t>
            </w:r>
          </w:p>
        </w:tc>
      </w:tr>
      <w:tr w:rsidR="00AB26B7" w:rsidRPr="00096105" w14:paraId="5E7BEA2A" w14:textId="77777777" w:rsidTr="00F17CC0">
        <w:tc>
          <w:tcPr>
            <w:tcW w:w="3397" w:type="dxa"/>
          </w:tcPr>
          <w:p w14:paraId="081E3768" w14:textId="77777777" w:rsidR="00AB26B7" w:rsidRPr="00096105" w:rsidRDefault="00AB26B7" w:rsidP="00F17CC0">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0A4043F6" w14:textId="6A6054AE" w:rsidR="00AB26B7" w:rsidRPr="00096105" w:rsidRDefault="0002011F" w:rsidP="00F17CC0">
            <w:r w:rsidRPr="00096105">
              <w:t>As per our published Execution Policy, ordinarily price and overall costs will merit the greatest importance.</w:t>
            </w:r>
          </w:p>
        </w:tc>
      </w:tr>
      <w:tr w:rsidR="00AB26B7" w:rsidRPr="00096105" w14:paraId="18FF391B" w14:textId="77777777" w:rsidTr="00F17CC0">
        <w:tc>
          <w:tcPr>
            <w:tcW w:w="3397" w:type="dxa"/>
          </w:tcPr>
          <w:p w14:paraId="52D33721" w14:textId="77777777" w:rsidR="00AB26B7" w:rsidRPr="00096105" w:rsidRDefault="00AB26B7" w:rsidP="00F17CC0">
            <w:r w:rsidRPr="00096105">
              <w:t>Use of data or tools relating to the quality of execution, including any data published under MiFID II.</w:t>
            </w:r>
          </w:p>
        </w:tc>
        <w:tc>
          <w:tcPr>
            <w:tcW w:w="5619" w:type="dxa"/>
          </w:tcPr>
          <w:p w14:paraId="0BF6E015" w14:textId="77777777" w:rsidR="00AB26B7" w:rsidRPr="00096105" w:rsidRDefault="00AB26B7" w:rsidP="00F17CC0">
            <w:r w:rsidRPr="00096105">
              <w:t>N/A</w:t>
            </w:r>
          </w:p>
        </w:tc>
      </w:tr>
      <w:tr w:rsidR="00AB26B7" w:rsidRPr="00096105" w14:paraId="0D077122" w14:textId="77777777" w:rsidTr="00F17CC0">
        <w:tc>
          <w:tcPr>
            <w:tcW w:w="3397" w:type="dxa"/>
          </w:tcPr>
          <w:p w14:paraId="123E927C" w14:textId="3D3FBD46" w:rsidR="00AB26B7" w:rsidRPr="00096105" w:rsidRDefault="00AB26B7" w:rsidP="00F17CC0">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05865214" w14:textId="77777777" w:rsidR="00AB26B7" w:rsidRPr="00096105" w:rsidRDefault="00AB26B7" w:rsidP="00F17CC0">
            <w:r w:rsidRPr="00096105">
              <w:lastRenderedPageBreak/>
              <w:t>N/A</w:t>
            </w:r>
          </w:p>
        </w:tc>
      </w:tr>
    </w:tbl>
    <w:p w14:paraId="718BCABD" w14:textId="7ECCD913" w:rsidR="00AB26B7" w:rsidRDefault="00AB26B7" w:rsidP="00AB26B7"/>
    <w:p w14:paraId="13B0AF75" w14:textId="40963AC7" w:rsidR="0002011F" w:rsidRDefault="0002011F">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0A04F15E" w14:textId="77777777" w:rsidTr="00F17CC0">
        <w:tc>
          <w:tcPr>
            <w:tcW w:w="9016" w:type="dxa"/>
            <w:gridSpan w:val="2"/>
          </w:tcPr>
          <w:p w14:paraId="2A2C8C09" w14:textId="2756E779" w:rsidR="00AB26B7" w:rsidRPr="00096105" w:rsidRDefault="00AB26B7" w:rsidP="00F17CC0">
            <w:pPr>
              <w:rPr>
                <w:b/>
                <w:bCs/>
              </w:rPr>
            </w:pPr>
            <w:r w:rsidRPr="00096105">
              <w:rPr>
                <w:b/>
                <w:bCs/>
              </w:rPr>
              <w:lastRenderedPageBreak/>
              <w:t>Execution Analysis Summary</w:t>
            </w:r>
            <w:r w:rsidRPr="00AB26B7">
              <w:rPr>
                <w:b/>
                <w:bCs/>
              </w:rPr>
              <w:t xml:space="preserve"> -</w:t>
            </w:r>
            <w:r>
              <w:rPr>
                <w:b/>
                <w:bCs/>
              </w:rPr>
              <w:t xml:space="preserve"> </w:t>
            </w:r>
            <w:r w:rsidRPr="00AB26B7">
              <w:rPr>
                <w:b/>
                <w:bCs/>
              </w:rPr>
              <w:t xml:space="preserve">Debt Instruments – Bonds </w:t>
            </w:r>
          </w:p>
        </w:tc>
      </w:tr>
      <w:tr w:rsidR="00AB26B7" w:rsidRPr="00096105" w14:paraId="22D006A7" w14:textId="77777777" w:rsidTr="00AB26B7">
        <w:tc>
          <w:tcPr>
            <w:tcW w:w="3397" w:type="dxa"/>
          </w:tcPr>
          <w:p w14:paraId="7AAC4A2F" w14:textId="77777777" w:rsidR="00AB26B7" w:rsidRPr="00096105" w:rsidRDefault="00AB26B7" w:rsidP="00F17CC0">
            <w:r w:rsidRPr="00096105">
              <w:t>Period</w:t>
            </w:r>
          </w:p>
        </w:tc>
        <w:tc>
          <w:tcPr>
            <w:tcW w:w="5619" w:type="dxa"/>
          </w:tcPr>
          <w:p w14:paraId="3EA6DF44" w14:textId="77777777" w:rsidR="00AB26B7" w:rsidRPr="00096105" w:rsidRDefault="00AB26B7" w:rsidP="00F17CC0">
            <w:r w:rsidRPr="00096105">
              <w:t>1 January 2019 – 31 December 2019</w:t>
            </w:r>
          </w:p>
        </w:tc>
      </w:tr>
      <w:tr w:rsidR="00AB26B7" w:rsidRPr="00096105" w14:paraId="443877EF" w14:textId="77777777" w:rsidTr="00AB26B7">
        <w:tc>
          <w:tcPr>
            <w:tcW w:w="3397" w:type="dxa"/>
          </w:tcPr>
          <w:p w14:paraId="5EB4E43B" w14:textId="77777777" w:rsidR="00AB26B7" w:rsidRPr="00096105" w:rsidRDefault="00AB26B7" w:rsidP="00F17CC0">
            <w:r w:rsidRPr="00096105">
              <w:t>Importance of Execution Factors</w:t>
            </w:r>
          </w:p>
        </w:tc>
        <w:tc>
          <w:tcPr>
            <w:tcW w:w="5619" w:type="dxa"/>
          </w:tcPr>
          <w:p w14:paraId="5CA4874B"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2EE73C9C" w14:textId="2B89B78C" w:rsidR="00AB26B7" w:rsidRDefault="00AB26B7" w:rsidP="00F17CC0">
            <w:r>
              <w:t>• Price (excluding external costs</w:t>
            </w:r>
            <w:r w:rsidR="00AD16F7">
              <w:t xml:space="preserve">, </w:t>
            </w:r>
            <w:r>
              <w:t>fees and charges );</w:t>
            </w:r>
          </w:p>
          <w:p w14:paraId="780D09E1"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2740FB72" w14:textId="77777777" w:rsidR="00AB26B7" w:rsidRDefault="00AB26B7" w:rsidP="00F17CC0">
            <w:r>
              <w:t>• Speed of execution;</w:t>
            </w:r>
          </w:p>
          <w:p w14:paraId="02FAFDE3" w14:textId="77777777" w:rsidR="00AB26B7" w:rsidRDefault="00AB26B7" w:rsidP="00F17CC0">
            <w:r>
              <w:t>• Likelihood of execution and settlement;</w:t>
            </w:r>
          </w:p>
          <w:p w14:paraId="71EAAD27" w14:textId="77777777" w:rsidR="00AB26B7" w:rsidRDefault="00AB26B7" w:rsidP="00F17CC0">
            <w:r>
              <w:t>• Size and nature of the order;</w:t>
            </w:r>
          </w:p>
          <w:p w14:paraId="53019A25" w14:textId="77777777" w:rsidR="00AB26B7" w:rsidRDefault="00AB26B7" w:rsidP="00F17CC0">
            <w:r>
              <w:t>• Likely market impact;</w:t>
            </w:r>
          </w:p>
          <w:p w14:paraId="7F835A46" w14:textId="77777777" w:rsidR="00AB26B7" w:rsidRDefault="00AB26B7" w:rsidP="00F17CC0">
            <w:r>
              <w:t>• Nature of the market for the financial instrument; and</w:t>
            </w:r>
          </w:p>
          <w:p w14:paraId="6D2B31A7" w14:textId="77777777" w:rsidR="00AB26B7" w:rsidRDefault="00AB26B7" w:rsidP="00F17CC0">
            <w:r>
              <w:t>• Any other consideration deemed relevant to the execution of the transaction.</w:t>
            </w:r>
          </w:p>
          <w:p w14:paraId="2D1CC82F" w14:textId="77777777" w:rsidR="00AB26B7" w:rsidRPr="00096105" w:rsidRDefault="00AB26B7" w:rsidP="00F17CC0"/>
        </w:tc>
      </w:tr>
      <w:tr w:rsidR="00AB26B7" w:rsidRPr="00096105" w14:paraId="5AC51365" w14:textId="77777777" w:rsidTr="00AB26B7">
        <w:tc>
          <w:tcPr>
            <w:tcW w:w="3397" w:type="dxa"/>
          </w:tcPr>
          <w:p w14:paraId="455DE2E4" w14:textId="77777777" w:rsidR="00AB26B7" w:rsidRPr="00096105" w:rsidRDefault="00AB26B7" w:rsidP="00F17CC0">
            <w:r w:rsidRPr="00096105">
              <w:t>Close links, Conflicts of Interest and Common Ownership with respect to Execution Venues</w:t>
            </w:r>
          </w:p>
        </w:tc>
        <w:tc>
          <w:tcPr>
            <w:tcW w:w="5619" w:type="dxa"/>
          </w:tcPr>
          <w:p w14:paraId="3DD62137" w14:textId="77777777" w:rsidR="00AB26B7" w:rsidRPr="00096105" w:rsidRDefault="00AB26B7" w:rsidP="00F17CC0">
            <w:r w:rsidRPr="00096105">
              <w:t>N/A</w:t>
            </w:r>
          </w:p>
        </w:tc>
      </w:tr>
      <w:tr w:rsidR="00AB26B7" w:rsidRPr="00096105" w14:paraId="56B6BFD9" w14:textId="77777777" w:rsidTr="00AB26B7">
        <w:tc>
          <w:tcPr>
            <w:tcW w:w="3397" w:type="dxa"/>
          </w:tcPr>
          <w:p w14:paraId="5585F06B"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0E6513D6" w14:textId="77777777" w:rsidR="00AB26B7" w:rsidRPr="00096105" w:rsidRDefault="00AB26B7" w:rsidP="00F17CC0">
            <w:r w:rsidRPr="00096105">
              <w:t>N/A</w:t>
            </w:r>
          </w:p>
        </w:tc>
      </w:tr>
      <w:tr w:rsidR="0002011F" w:rsidRPr="00096105" w14:paraId="6445007D" w14:textId="77777777" w:rsidTr="00AB26B7">
        <w:tc>
          <w:tcPr>
            <w:tcW w:w="3397" w:type="dxa"/>
          </w:tcPr>
          <w:p w14:paraId="36021B6D" w14:textId="31ECABE7"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09E2FE5E" w14:textId="5F8B897E" w:rsidR="0002011F" w:rsidRPr="00096105" w:rsidRDefault="0002011F" w:rsidP="0002011F">
            <w:r>
              <w:t>N/A</w:t>
            </w:r>
          </w:p>
        </w:tc>
      </w:tr>
      <w:tr w:rsidR="00AB26B7" w:rsidRPr="00096105" w14:paraId="308C6DD2" w14:textId="77777777" w:rsidTr="00AB26B7">
        <w:tc>
          <w:tcPr>
            <w:tcW w:w="3397" w:type="dxa"/>
          </w:tcPr>
          <w:p w14:paraId="3BEAD022" w14:textId="77777777" w:rsidR="00AB26B7" w:rsidRPr="00096105" w:rsidRDefault="00AB26B7" w:rsidP="00F17CC0">
            <w:r w:rsidRPr="00096105">
              <w:t>How order execution differs according to client categorisation</w:t>
            </w:r>
          </w:p>
        </w:tc>
        <w:tc>
          <w:tcPr>
            <w:tcW w:w="5619" w:type="dxa"/>
          </w:tcPr>
          <w:p w14:paraId="3A3F7C32" w14:textId="4774A1D0" w:rsidR="00AB26B7" w:rsidRPr="00096105" w:rsidRDefault="0002011F" w:rsidP="00F17CC0">
            <w:r w:rsidRPr="00096105">
              <w:t xml:space="preserve">We do not differentiate </w:t>
            </w:r>
            <w:r>
              <w:t xml:space="preserve">approach based on </w:t>
            </w:r>
            <w:r w:rsidRPr="00096105">
              <w:t>client categorisation</w:t>
            </w:r>
          </w:p>
        </w:tc>
      </w:tr>
      <w:tr w:rsidR="00AB26B7" w:rsidRPr="00096105" w14:paraId="1FEC022F" w14:textId="77777777" w:rsidTr="00AB26B7">
        <w:tc>
          <w:tcPr>
            <w:tcW w:w="3397" w:type="dxa"/>
          </w:tcPr>
          <w:p w14:paraId="165DDB19" w14:textId="77777777" w:rsidR="00AB26B7" w:rsidRPr="00096105" w:rsidRDefault="00AB26B7" w:rsidP="00F17CC0">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29AAFE56" w14:textId="3DE7925D" w:rsidR="00AB26B7" w:rsidRPr="00096105" w:rsidRDefault="0002011F" w:rsidP="00F17CC0">
            <w:r w:rsidRPr="00096105">
              <w:t>As per our published Execution Policy, ordinarily price and overall costs will merit the greatest importance.</w:t>
            </w:r>
          </w:p>
        </w:tc>
      </w:tr>
      <w:tr w:rsidR="00AB26B7" w:rsidRPr="00096105" w14:paraId="36ECF094" w14:textId="77777777" w:rsidTr="00AB26B7">
        <w:tc>
          <w:tcPr>
            <w:tcW w:w="3397" w:type="dxa"/>
          </w:tcPr>
          <w:p w14:paraId="3C1C8FDA" w14:textId="77777777" w:rsidR="00AB26B7" w:rsidRPr="00096105" w:rsidRDefault="00AB26B7" w:rsidP="00F17CC0">
            <w:r w:rsidRPr="00096105">
              <w:t>Use of data or tools relating to the quality of execution, including any data published under MiFID II.</w:t>
            </w:r>
          </w:p>
        </w:tc>
        <w:tc>
          <w:tcPr>
            <w:tcW w:w="5619" w:type="dxa"/>
          </w:tcPr>
          <w:p w14:paraId="2EC782AD" w14:textId="77777777" w:rsidR="00AB26B7" w:rsidRPr="00096105" w:rsidRDefault="00AB26B7" w:rsidP="00F17CC0">
            <w:r w:rsidRPr="00096105">
              <w:t>N/A</w:t>
            </w:r>
          </w:p>
        </w:tc>
      </w:tr>
      <w:tr w:rsidR="00AB26B7" w:rsidRPr="00096105" w14:paraId="1D506372" w14:textId="77777777" w:rsidTr="00AB26B7">
        <w:tc>
          <w:tcPr>
            <w:tcW w:w="3397" w:type="dxa"/>
          </w:tcPr>
          <w:p w14:paraId="3AD62D6A" w14:textId="5D534D86" w:rsidR="00AB26B7" w:rsidRPr="00096105" w:rsidRDefault="00AB26B7" w:rsidP="00F17CC0">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45991892" w14:textId="77777777" w:rsidR="00AB26B7" w:rsidRPr="00096105" w:rsidRDefault="00AB26B7" w:rsidP="00F17CC0">
            <w:r w:rsidRPr="00096105">
              <w:lastRenderedPageBreak/>
              <w:t>N/A</w:t>
            </w:r>
          </w:p>
        </w:tc>
      </w:tr>
    </w:tbl>
    <w:p w14:paraId="3003CE0D" w14:textId="3109E0B1" w:rsidR="00AB26B7" w:rsidRDefault="00AB26B7" w:rsidP="00AB26B7"/>
    <w:p w14:paraId="62FDA636" w14:textId="77777777" w:rsidR="00AB26B7" w:rsidRPr="00096105" w:rsidRDefault="00AB26B7" w:rsidP="00AB26B7"/>
    <w:p w14:paraId="1A69AFB8" w14:textId="2BF37A36" w:rsidR="0002011F" w:rsidRDefault="0002011F">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215F1671" w14:textId="77777777" w:rsidTr="00F17CC0">
        <w:tc>
          <w:tcPr>
            <w:tcW w:w="9016" w:type="dxa"/>
            <w:gridSpan w:val="2"/>
          </w:tcPr>
          <w:p w14:paraId="4A906AD4" w14:textId="77406104" w:rsidR="00AB26B7" w:rsidRPr="00096105" w:rsidRDefault="00AB26B7" w:rsidP="00F17CC0">
            <w:pPr>
              <w:rPr>
                <w:b/>
                <w:bCs/>
              </w:rPr>
            </w:pPr>
            <w:r w:rsidRPr="00096105">
              <w:rPr>
                <w:b/>
                <w:bCs/>
              </w:rPr>
              <w:lastRenderedPageBreak/>
              <w:t>Execution Analysis Summary</w:t>
            </w:r>
            <w:r>
              <w:rPr>
                <w:b/>
                <w:bCs/>
              </w:rPr>
              <w:t xml:space="preserve"> – Currency Derivatives</w:t>
            </w:r>
          </w:p>
        </w:tc>
      </w:tr>
      <w:tr w:rsidR="00AB26B7" w:rsidRPr="00096105" w14:paraId="5CC56BB1" w14:textId="77777777" w:rsidTr="00F17CC0">
        <w:tc>
          <w:tcPr>
            <w:tcW w:w="3397" w:type="dxa"/>
          </w:tcPr>
          <w:p w14:paraId="57ECB535" w14:textId="77777777" w:rsidR="00AB26B7" w:rsidRPr="00096105" w:rsidRDefault="00AB26B7" w:rsidP="00F17CC0">
            <w:r w:rsidRPr="00096105">
              <w:t>Period</w:t>
            </w:r>
          </w:p>
        </w:tc>
        <w:tc>
          <w:tcPr>
            <w:tcW w:w="5619" w:type="dxa"/>
          </w:tcPr>
          <w:p w14:paraId="2EF08906" w14:textId="77777777" w:rsidR="00AB26B7" w:rsidRPr="00096105" w:rsidRDefault="00AB26B7" w:rsidP="00F17CC0">
            <w:r w:rsidRPr="00096105">
              <w:t>1 January 2019 – 31 December 2019</w:t>
            </w:r>
          </w:p>
        </w:tc>
      </w:tr>
      <w:tr w:rsidR="00AB26B7" w:rsidRPr="00096105" w14:paraId="68C7B6F7" w14:textId="77777777" w:rsidTr="00F17CC0">
        <w:tc>
          <w:tcPr>
            <w:tcW w:w="3397" w:type="dxa"/>
          </w:tcPr>
          <w:p w14:paraId="30DE9010" w14:textId="77777777" w:rsidR="00AB26B7" w:rsidRPr="00096105" w:rsidRDefault="00AB26B7" w:rsidP="00F17CC0">
            <w:r w:rsidRPr="00096105">
              <w:t>Importance of Execution Factors</w:t>
            </w:r>
          </w:p>
        </w:tc>
        <w:tc>
          <w:tcPr>
            <w:tcW w:w="5619" w:type="dxa"/>
          </w:tcPr>
          <w:p w14:paraId="65497054"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4D674166" w14:textId="23E4EFA0" w:rsidR="00AB26B7" w:rsidRDefault="00AB26B7" w:rsidP="00F17CC0">
            <w:r>
              <w:t>• Price (excluding external costs</w:t>
            </w:r>
            <w:r w:rsidR="00AD16F7">
              <w:t>,</w:t>
            </w:r>
            <w:r>
              <w:t xml:space="preserve"> fees and charges );</w:t>
            </w:r>
          </w:p>
          <w:p w14:paraId="0D44BBB3"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20E18D1C" w14:textId="77777777" w:rsidR="00AB26B7" w:rsidRDefault="00AB26B7" w:rsidP="00F17CC0">
            <w:r>
              <w:t>• Speed of execution;</w:t>
            </w:r>
          </w:p>
          <w:p w14:paraId="07EF1ECD" w14:textId="77777777" w:rsidR="00AB26B7" w:rsidRDefault="00AB26B7" w:rsidP="00F17CC0">
            <w:r>
              <w:t>• Likelihood of execution and settlement;</w:t>
            </w:r>
          </w:p>
          <w:p w14:paraId="7B7D57B7" w14:textId="77777777" w:rsidR="00AB26B7" w:rsidRDefault="00AB26B7" w:rsidP="00F17CC0">
            <w:r>
              <w:t>• Size and nature of the order;</w:t>
            </w:r>
          </w:p>
          <w:p w14:paraId="129AFEFF" w14:textId="77777777" w:rsidR="00AB26B7" w:rsidRDefault="00AB26B7" w:rsidP="00F17CC0">
            <w:r>
              <w:t>• Likely market impact;</w:t>
            </w:r>
          </w:p>
          <w:p w14:paraId="5F352552" w14:textId="77777777" w:rsidR="00AB26B7" w:rsidRDefault="00AB26B7" w:rsidP="00F17CC0">
            <w:r>
              <w:t>• Nature of the market for the financial instrument; and</w:t>
            </w:r>
          </w:p>
          <w:p w14:paraId="14E5ACD5" w14:textId="77777777" w:rsidR="00AB26B7" w:rsidRDefault="00AB26B7" w:rsidP="00F17CC0">
            <w:r>
              <w:t>• Any other consideration deemed relevant to the execution of the transaction.</w:t>
            </w:r>
          </w:p>
          <w:p w14:paraId="4A242C63" w14:textId="77777777" w:rsidR="00AB26B7" w:rsidRPr="00096105" w:rsidRDefault="00AB26B7" w:rsidP="00F17CC0"/>
        </w:tc>
      </w:tr>
      <w:tr w:rsidR="00AB26B7" w:rsidRPr="00096105" w14:paraId="0E8134D7" w14:textId="77777777" w:rsidTr="00F17CC0">
        <w:tc>
          <w:tcPr>
            <w:tcW w:w="3397" w:type="dxa"/>
          </w:tcPr>
          <w:p w14:paraId="50C31C3D" w14:textId="77777777" w:rsidR="00AB26B7" w:rsidRPr="00096105" w:rsidRDefault="00AB26B7" w:rsidP="00F17CC0">
            <w:r w:rsidRPr="00096105">
              <w:t>Close links, Conflicts of Interest and Common Ownership with respect to Execution Venues</w:t>
            </w:r>
          </w:p>
        </w:tc>
        <w:tc>
          <w:tcPr>
            <w:tcW w:w="5619" w:type="dxa"/>
          </w:tcPr>
          <w:p w14:paraId="681F2953" w14:textId="77777777" w:rsidR="00AB26B7" w:rsidRPr="00096105" w:rsidRDefault="00AB26B7" w:rsidP="00F17CC0">
            <w:r w:rsidRPr="00096105">
              <w:t>N/A</w:t>
            </w:r>
          </w:p>
        </w:tc>
      </w:tr>
      <w:tr w:rsidR="00AB26B7" w:rsidRPr="00096105" w14:paraId="30040661" w14:textId="77777777" w:rsidTr="00F17CC0">
        <w:tc>
          <w:tcPr>
            <w:tcW w:w="3397" w:type="dxa"/>
          </w:tcPr>
          <w:p w14:paraId="0DD4CDDC"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37EA3BC7" w14:textId="77777777" w:rsidR="00AB26B7" w:rsidRPr="00096105" w:rsidRDefault="00AB26B7" w:rsidP="00F17CC0">
            <w:r w:rsidRPr="00096105">
              <w:t>N/A</w:t>
            </w:r>
          </w:p>
        </w:tc>
      </w:tr>
      <w:tr w:rsidR="0002011F" w:rsidRPr="00096105" w14:paraId="7F779C09" w14:textId="77777777" w:rsidTr="00F17CC0">
        <w:tc>
          <w:tcPr>
            <w:tcW w:w="3397" w:type="dxa"/>
          </w:tcPr>
          <w:p w14:paraId="53D14980" w14:textId="777AA912"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1EFD88D8" w14:textId="37B51CB0" w:rsidR="0002011F" w:rsidRPr="00096105" w:rsidRDefault="0002011F" w:rsidP="0002011F">
            <w:r>
              <w:t>N/A</w:t>
            </w:r>
          </w:p>
        </w:tc>
      </w:tr>
      <w:tr w:rsidR="0002011F" w:rsidRPr="00096105" w14:paraId="5EE78B19" w14:textId="77777777" w:rsidTr="00F17CC0">
        <w:tc>
          <w:tcPr>
            <w:tcW w:w="3397" w:type="dxa"/>
          </w:tcPr>
          <w:p w14:paraId="25757CD9" w14:textId="77777777" w:rsidR="0002011F" w:rsidRPr="00096105" w:rsidRDefault="0002011F" w:rsidP="0002011F">
            <w:r w:rsidRPr="00096105">
              <w:t>How order execution differs according to client categorisation</w:t>
            </w:r>
          </w:p>
        </w:tc>
        <w:tc>
          <w:tcPr>
            <w:tcW w:w="5619" w:type="dxa"/>
          </w:tcPr>
          <w:p w14:paraId="274360DB" w14:textId="34368E07" w:rsidR="0002011F" w:rsidRPr="00096105" w:rsidRDefault="0002011F" w:rsidP="0002011F">
            <w:r w:rsidRPr="00096105">
              <w:t xml:space="preserve">We do not differentiate </w:t>
            </w:r>
            <w:r>
              <w:t xml:space="preserve">approach based on </w:t>
            </w:r>
            <w:r w:rsidRPr="00096105">
              <w:t>client categorisation</w:t>
            </w:r>
          </w:p>
        </w:tc>
      </w:tr>
      <w:tr w:rsidR="0002011F" w:rsidRPr="00096105" w14:paraId="357B63DB" w14:textId="77777777" w:rsidTr="00F17CC0">
        <w:tc>
          <w:tcPr>
            <w:tcW w:w="3397" w:type="dxa"/>
          </w:tcPr>
          <w:p w14:paraId="73D01A3E" w14:textId="77777777" w:rsidR="0002011F" w:rsidRPr="00096105" w:rsidRDefault="0002011F" w:rsidP="0002011F">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118BA666" w14:textId="4222B3AA" w:rsidR="0002011F" w:rsidRPr="00096105" w:rsidRDefault="0002011F" w:rsidP="0002011F">
            <w:r w:rsidRPr="00096105">
              <w:t>As per our published Execution Policy, ordinarily price and overall costs will merit the greatest importance.</w:t>
            </w:r>
          </w:p>
        </w:tc>
      </w:tr>
      <w:tr w:rsidR="0002011F" w:rsidRPr="00096105" w14:paraId="5CA9D4CA" w14:textId="77777777" w:rsidTr="00F17CC0">
        <w:tc>
          <w:tcPr>
            <w:tcW w:w="3397" w:type="dxa"/>
          </w:tcPr>
          <w:p w14:paraId="59B2A95D" w14:textId="77777777" w:rsidR="0002011F" w:rsidRPr="00096105" w:rsidRDefault="0002011F" w:rsidP="0002011F">
            <w:r w:rsidRPr="00096105">
              <w:t>Use of data or tools relating to the quality of execution, including any data published under MiFID II.</w:t>
            </w:r>
          </w:p>
        </w:tc>
        <w:tc>
          <w:tcPr>
            <w:tcW w:w="5619" w:type="dxa"/>
          </w:tcPr>
          <w:p w14:paraId="361848B3" w14:textId="77777777" w:rsidR="0002011F" w:rsidRPr="00096105" w:rsidRDefault="0002011F" w:rsidP="0002011F">
            <w:r w:rsidRPr="00096105">
              <w:t>N/A</w:t>
            </w:r>
          </w:p>
        </w:tc>
      </w:tr>
      <w:tr w:rsidR="0002011F" w:rsidRPr="00096105" w14:paraId="2B7983BC" w14:textId="77777777" w:rsidTr="00F17CC0">
        <w:tc>
          <w:tcPr>
            <w:tcW w:w="3397" w:type="dxa"/>
          </w:tcPr>
          <w:p w14:paraId="7A553A72" w14:textId="20C989F8" w:rsidR="0002011F" w:rsidRPr="00096105" w:rsidRDefault="0002011F" w:rsidP="0002011F">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32B02B4A" w14:textId="77777777" w:rsidR="0002011F" w:rsidRPr="00096105" w:rsidRDefault="0002011F" w:rsidP="0002011F">
            <w:r w:rsidRPr="00096105">
              <w:lastRenderedPageBreak/>
              <w:t>N/A</w:t>
            </w:r>
          </w:p>
        </w:tc>
      </w:tr>
    </w:tbl>
    <w:p w14:paraId="6FBF9292" w14:textId="70617CBA" w:rsidR="00AB26B7" w:rsidRDefault="00AB26B7" w:rsidP="00AB26B7"/>
    <w:p w14:paraId="66FAD451" w14:textId="4125E1E7" w:rsidR="0002011F" w:rsidRDefault="0002011F">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0E825891" w14:textId="77777777" w:rsidTr="00F17CC0">
        <w:tc>
          <w:tcPr>
            <w:tcW w:w="9016" w:type="dxa"/>
            <w:gridSpan w:val="2"/>
          </w:tcPr>
          <w:p w14:paraId="399E71D9" w14:textId="0BB88CD4" w:rsidR="00AB26B7" w:rsidRPr="00096105" w:rsidRDefault="00AB26B7" w:rsidP="00F17CC0">
            <w:pPr>
              <w:rPr>
                <w:b/>
                <w:bCs/>
              </w:rPr>
            </w:pPr>
            <w:r w:rsidRPr="00096105">
              <w:rPr>
                <w:b/>
                <w:bCs/>
              </w:rPr>
              <w:lastRenderedPageBreak/>
              <w:t>Execution Analysis Summary</w:t>
            </w:r>
            <w:r>
              <w:rPr>
                <w:b/>
                <w:bCs/>
              </w:rPr>
              <w:t xml:space="preserve"> – Equity Derivatives</w:t>
            </w:r>
          </w:p>
        </w:tc>
      </w:tr>
      <w:tr w:rsidR="00AB26B7" w:rsidRPr="00096105" w14:paraId="0897D242" w14:textId="77777777" w:rsidTr="00F17CC0">
        <w:tc>
          <w:tcPr>
            <w:tcW w:w="3397" w:type="dxa"/>
          </w:tcPr>
          <w:p w14:paraId="398C7823" w14:textId="77777777" w:rsidR="00AB26B7" w:rsidRPr="00096105" w:rsidRDefault="00AB26B7" w:rsidP="00F17CC0">
            <w:r w:rsidRPr="00096105">
              <w:t>Period</w:t>
            </w:r>
          </w:p>
        </w:tc>
        <w:tc>
          <w:tcPr>
            <w:tcW w:w="5619" w:type="dxa"/>
          </w:tcPr>
          <w:p w14:paraId="5CE998CD" w14:textId="77777777" w:rsidR="00AB26B7" w:rsidRPr="00096105" w:rsidRDefault="00AB26B7" w:rsidP="00F17CC0">
            <w:r w:rsidRPr="00096105">
              <w:t>1 January 2019 – 31 December 2019</w:t>
            </w:r>
          </w:p>
        </w:tc>
      </w:tr>
      <w:tr w:rsidR="00AB26B7" w:rsidRPr="00096105" w14:paraId="14CDDD82" w14:textId="77777777" w:rsidTr="00F17CC0">
        <w:tc>
          <w:tcPr>
            <w:tcW w:w="3397" w:type="dxa"/>
          </w:tcPr>
          <w:p w14:paraId="673FD71F" w14:textId="77777777" w:rsidR="00AB26B7" w:rsidRPr="00096105" w:rsidRDefault="00AB26B7" w:rsidP="00F17CC0">
            <w:r w:rsidRPr="00096105">
              <w:t>Importance of Execution Factors</w:t>
            </w:r>
          </w:p>
        </w:tc>
        <w:tc>
          <w:tcPr>
            <w:tcW w:w="5619" w:type="dxa"/>
          </w:tcPr>
          <w:p w14:paraId="172CB53A"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29313A4E" w14:textId="6CEB9B9C" w:rsidR="00AB26B7" w:rsidRDefault="00AB26B7" w:rsidP="00F17CC0">
            <w:r>
              <w:t>• Price (excluding external costs</w:t>
            </w:r>
            <w:r w:rsidR="00AD16F7">
              <w:t>,</w:t>
            </w:r>
            <w:r>
              <w:t xml:space="preserve"> fees and charges );</w:t>
            </w:r>
          </w:p>
          <w:p w14:paraId="609679B5"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07C7F783" w14:textId="77777777" w:rsidR="00AB26B7" w:rsidRDefault="00AB26B7" w:rsidP="00F17CC0">
            <w:r>
              <w:t>• Speed of execution;</w:t>
            </w:r>
          </w:p>
          <w:p w14:paraId="1D6F1F81" w14:textId="77777777" w:rsidR="00AB26B7" w:rsidRDefault="00AB26B7" w:rsidP="00F17CC0">
            <w:r>
              <w:t>• Likelihood of execution and settlement;</w:t>
            </w:r>
          </w:p>
          <w:p w14:paraId="4B185335" w14:textId="77777777" w:rsidR="00AB26B7" w:rsidRDefault="00AB26B7" w:rsidP="00F17CC0">
            <w:r>
              <w:t>• Size and nature of the order;</w:t>
            </w:r>
          </w:p>
          <w:p w14:paraId="7F3CECB2" w14:textId="77777777" w:rsidR="00AB26B7" w:rsidRDefault="00AB26B7" w:rsidP="00F17CC0">
            <w:r>
              <w:t>• Likely market impact;</w:t>
            </w:r>
          </w:p>
          <w:p w14:paraId="5F515DB3" w14:textId="77777777" w:rsidR="00AB26B7" w:rsidRDefault="00AB26B7" w:rsidP="00F17CC0">
            <w:r>
              <w:t>• Nature of the market for the financial instrument; and</w:t>
            </w:r>
          </w:p>
          <w:p w14:paraId="4F8491BD" w14:textId="77777777" w:rsidR="00AB26B7" w:rsidRDefault="00AB26B7" w:rsidP="00F17CC0">
            <w:r>
              <w:t>• Any other consideration deemed relevant to the execution of the transaction.</w:t>
            </w:r>
          </w:p>
          <w:p w14:paraId="2BD7E736" w14:textId="77777777" w:rsidR="00AB26B7" w:rsidRPr="00096105" w:rsidRDefault="00AB26B7" w:rsidP="00F17CC0"/>
        </w:tc>
      </w:tr>
      <w:tr w:rsidR="00AB26B7" w:rsidRPr="00096105" w14:paraId="710954B9" w14:textId="77777777" w:rsidTr="00F17CC0">
        <w:tc>
          <w:tcPr>
            <w:tcW w:w="3397" w:type="dxa"/>
          </w:tcPr>
          <w:p w14:paraId="38B7845E" w14:textId="77777777" w:rsidR="00AB26B7" w:rsidRPr="00096105" w:rsidRDefault="00AB26B7" w:rsidP="00F17CC0">
            <w:r w:rsidRPr="00096105">
              <w:t>Close links, Conflicts of Interest and Common Ownership with respect to Execution Venues</w:t>
            </w:r>
          </w:p>
        </w:tc>
        <w:tc>
          <w:tcPr>
            <w:tcW w:w="5619" w:type="dxa"/>
          </w:tcPr>
          <w:p w14:paraId="735DD034" w14:textId="77777777" w:rsidR="00AB26B7" w:rsidRPr="00096105" w:rsidRDefault="00AB26B7" w:rsidP="00F17CC0">
            <w:r w:rsidRPr="00096105">
              <w:t>N/A</w:t>
            </w:r>
          </w:p>
        </w:tc>
      </w:tr>
      <w:tr w:rsidR="00AB26B7" w:rsidRPr="00096105" w14:paraId="5387D57C" w14:textId="77777777" w:rsidTr="00F17CC0">
        <w:tc>
          <w:tcPr>
            <w:tcW w:w="3397" w:type="dxa"/>
          </w:tcPr>
          <w:p w14:paraId="0E042489"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4FFA61D4" w14:textId="77777777" w:rsidR="00AB26B7" w:rsidRPr="00096105" w:rsidRDefault="00AB26B7" w:rsidP="00F17CC0">
            <w:r w:rsidRPr="00096105">
              <w:t>N/A</w:t>
            </w:r>
          </w:p>
        </w:tc>
      </w:tr>
      <w:tr w:rsidR="0002011F" w:rsidRPr="00096105" w14:paraId="7F948F18" w14:textId="77777777" w:rsidTr="00F17CC0">
        <w:tc>
          <w:tcPr>
            <w:tcW w:w="3397" w:type="dxa"/>
          </w:tcPr>
          <w:p w14:paraId="28D03996" w14:textId="4533FEFC"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573DF95F" w14:textId="76C9DAD7" w:rsidR="0002011F" w:rsidRPr="00096105" w:rsidRDefault="0002011F" w:rsidP="0002011F">
            <w:r>
              <w:t>N/A</w:t>
            </w:r>
          </w:p>
        </w:tc>
      </w:tr>
      <w:tr w:rsidR="0002011F" w:rsidRPr="00096105" w14:paraId="7CC1FDA4" w14:textId="77777777" w:rsidTr="00F17CC0">
        <w:tc>
          <w:tcPr>
            <w:tcW w:w="3397" w:type="dxa"/>
          </w:tcPr>
          <w:p w14:paraId="1D15DD3A" w14:textId="77777777" w:rsidR="0002011F" w:rsidRPr="00096105" w:rsidRDefault="0002011F" w:rsidP="0002011F">
            <w:r w:rsidRPr="00096105">
              <w:t>How order execution differs according to client categorisation</w:t>
            </w:r>
          </w:p>
        </w:tc>
        <w:tc>
          <w:tcPr>
            <w:tcW w:w="5619" w:type="dxa"/>
          </w:tcPr>
          <w:p w14:paraId="6AD4B21D" w14:textId="7178C4E1" w:rsidR="0002011F" w:rsidRPr="00096105" w:rsidRDefault="0002011F" w:rsidP="0002011F">
            <w:r w:rsidRPr="00096105">
              <w:t xml:space="preserve">We do not differentiate </w:t>
            </w:r>
            <w:r>
              <w:t xml:space="preserve">approach based on </w:t>
            </w:r>
            <w:r w:rsidRPr="00096105">
              <w:t>client categorisation</w:t>
            </w:r>
          </w:p>
        </w:tc>
      </w:tr>
      <w:tr w:rsidR="0002011F" w:rsidRPr="00096105" w14:paraId="03E5ED45" w14:textId="77777777" w:rsidTr="00F17CC0">
        <w:tc>
          <w:tcPr>
            <w:tcW w:w="3397" w:type="dxa"/>
          </w:tcPr>
          <w:p w14:paraId="392C6734" w14:textId="77777777" w:rsidR="0002011F" w:rsidRPr="00096105" w:rsidRDefault="0002011F" w:rsidP="0002011F">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777FFBA5" w14:textId="13EFBDD5" w:rsidR="0002011F" w:rsidRPr="00096105" w:rsidRDefault="0002011F" w:rsidP="0002011F">
            <w:r w:rsidRPr="00096105">
              <w:t>As per our published Execution Policy, ordinarily price and overall costs will merit the greatest importance.</w:t>
            </w:r>
          </w:p>
        </w:tc>
      </w:tr>
      <w:tr w:rsidR="0002011F" w:rsidRPr="00096105" w14:paraId="7F40C041" w14:textId="77777777" w:rsidTr="00F17CC0">
        <w:tc>
          <w:tcPr>
            <w:tcW w:w="3397" w:type="dxa"/>
          </w:tcPr>
          <w:p w14:paraId="26CC1B27" w14:textId="77777777" w:rsidR="0002011F" w:rsidRPr="00096105" w:rsidRDefault="0002011F" w:rsidP="0002011F">
            <w:r w:rsidRPr="00096105">
              <w:t>Use of data or tools relating to the quality of execution, including any data published under MiFID II.</w:t>
            </w:r>
          </w:p>
        </w:tc>
        <w:tc>
          <w:tcPr>
            <w:tcW w:w="5619" w:type="dxa"/>
          </w:tcPr>
          <w:p w14:paraId="7F3A6BA6" w14:textId="77777777" w:rsidR="0002011F" w:rsidRPr="00096105" w:rsidRDefault="0002011F" w:rsidP="0002011F">
            <w:r w:rsidRPr="00096105">
              <w:t>N/A</w:t>
            </w:r>
          </w:p>
        </w:tc>
      </w:tr>
      <w:tr w:rsidR="0002011F" w:rsidRPr="00096105" w14:paraId="6778F500" w14:textId="77777777" w:rsidTr="00F17CC0">
        <w:tc>
          <w:tcPr>
            <w:tcW w:w="3397" w:type="dxa"/>
          </w:tcPr>
          <w:p w14:paraId="721C6EAD" w14:textId="25BDA469" w:rsidR="0002011F" w:rsidRPr="00096105" w:rsidRDefault="0002011F" w:rsidP="0002011F">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47CEE6CC" w14:textId="77777777" w:rsidR="0002011F" w:rsidRPr="00096105" w:rsidRDefault="0002011F" w:rsidP="0002011F">
            <w:r w:rsidRPr="00096105">
              <w:lastRenderedPageBreak/>
              <w:t>N/A</w:t>
            </w:r>
          </w:p>
        </w:tc>
      </w:tr>
    </w:tbl>
    <w:p w14:paraId="317EE6E2" w14:textId="41FF4E1F" w:rsidR="00AB26B7" w:rsidRDefault="00AB26B7" w:rsidP="00AB26B7"/>
    <w:p w14:paraId="7A64E26F" w14:textId="7C1AFE69" w:rsidR="0002011F" w:rsidRDefault="0002011F">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11119CBC" w14:textId="77777777" w:rsidTr="00F17CC0">
        <w:tc>
          <w:tcPr>
            <w:tcW w:w="9016" w:type="dxa"/>
            <w:gridSpan w:val="2"/>
          </w:tcPr>
          <w:p w14:paraId="6C6C47F6" w14:textId="37B7BB9F" w:rsidR="00AB26B7" w:rsidRPr="00096105" w:rsidRDefault="00AB26B7" w:rsidP="00F17CC0">
            <w:pPr>
              <w:rPr>
                <w:b/>
                <w:bCs/>
              </w:rPr>
            </w:pPr>
            <w:r w:rsidRPr="00096105">
              <w:rPr>
                <w:b/>
                <w:bCs/>
              </w:rPr>
              <w:lastRenderedPageBreak/>
              <w:t>Execution Analysis Summary</w:t>
            </w:r>
            <w:r>
              <w:rPr>
                <w:b/>
                <w:bCs/>
              </w:rPr>
              <w:t xml:space="preserve"> – Commodity Derivatives</w:t>
            </w:r>
          </w:p>
        </w:tc>
      </w:tr>
      <w:tr w:rsidR="00AB26B7" w:rsidRPr="00096105" w14:paraId="24BA804F" w14:textId="77777777" w:rsidTr="00F17CC0">
        <w:tc>
          <w:tcPr>
            <w:tcW w:w="3397" w:type="dxa"/>
          </w:tcPr>
          <w:p w14:paraId="6BB68F38" w14:textId="77777777" w:rsidR="00AB26B7" w:rsidRPr="00096105" w:rsidRDefault="00AB26B7" w:rsidP="00F17CC0">
            <w:r w:rsidRPr="00096105">
              <w:t>Period</w:t>
            </w:r>
          </w:p>
        </w:tc>
        <w:tc>
          <w:tcPr>
            <w:tcW w:w="5619" w:type="dxa"/>
          </w:tcPr>
          <w:p w14:paraId="55A136A7" w14:textId="77777777" w:rsidR="00AB26B7" w:rsidRPr="00096105" w:rsidRDefault="00AB26B7" w:rsidP="00F17CC0">
            <w:r w:rsidRPr="00096105">
              <w:t>1 January 2019 – 31 December 2019</w:t>
            </w:r>
          </w:p>
        </w:tc>
      </w:tr>
      <w:tr w:rsidR="00AB26B7" w:rsidRPr="00096105" w14:paraId="1136B361" w14:textId="77777777" w:rsidTr="00F17CC0">
        <w:tc>
          <w:tcPr>
            <w:tcW w:w="3397" w:type="dxa"/>
          </w:tcPr>
          <w:p w14:paraId="05D015B1" w14:textId="77777777" w:rsidR="00AB26B7" w:rsidRPr="00096105" w:rsidRDefault="00AB26B7" w:rsidP="00F17CC0">
            <w:r w:rsidRPr="00096105">
              <w:t>Importance of Execution Factors</w:t>
            </w:r>
          </w:p>
        </w:tc>
        <w:tc>
          <w:tcPr>
            <w:tcW w:w="5619" w:type="dxa"/>
          </w:tcPr>
          <w:p w14:paraId="1ADCD130"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2451E685" w14:textId="71797453" w:rsidR="00AB26B7" w:rsidRDefault="00AB26B7" w:rsidP="00F17CC0">
            <w:r>
              <w:t>• Price (excluding external costs</w:t>
            </w:r>
            <w:r w:rsidR="00AD16F7">
              <w:t>,</w:t>
            </w:r>
            <w:r>
              <w:t xml:space="preserve"> fees and charges );</w:t>
            </w:r>
          </w:p>
          <w:p w14:paraId="75054C1D"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6745DF88" w14:textId="77777777" w:rsidR="00AB26B7" w:rsidRDefault="00AB26B7" w:rsidP="00F17CC0">
            <w:r>
              <w:t>• Speed of execution;</w:t>
            </w:r>
          </w:p>
          <w:p w14:paraId="7E9D4CED" w14:textId="77777777" w:rsidR="00AB26B7" w:rsidRDefault="00AB26B7" w:rsidP="00F17CC0">
            <w:r>
              <w:t>• Likelihood of execution and settlement;</w:t>
            </w:r>
          </w:p>
          <w:p w14:paraId="739D2F35" w14:textId="77777777" w:rsidR="00AB26B7" w:rsidRDefault="00AB26B7" w:rsidP="00F17CC0">
            <w:r>
              <w:t>• Size and nature of the order;</w:t>
            </w:r>
          </w:p>
          <w:p w14:paraId="7029020E" w14:textId="77777777" w:rsidR="00AB26B7" w:rsidRDefault="00AB26B7" w:rsidP="00F17CC0">
            <w:r>
              <w:t>• Likely market impact;</w:t>
            </w:r>
          </w:p>
          <w:p w14:paraId="7040D263" w14:textId="77777777" w:rsidR="00AB26B7" w:rsidRDefault="00AB26B7" w:rsidP="00F17CC0">
            <w:r>
              <w:t>• Nature of the market for the financial instrument; and</w:t>
            </w:r>
          </w:p>
          <w:p w14:paraId="01D41130" w14:textId="77777777" w:rsidR="00AB26B7" w:rsidRDefault="00AB26B7" w:rsidP="00F17CC0">
            <w:r>
              <w:t>• Any other consideration deemed relevant to the execution of the transaction.</w:t>
            </w:r>
          </w:p>
          <w:p w14:paraId="3FA3FD3C" w14:textId="77777777" w:rsidR="00AB26B7" w:rsidRPr="00096105" w:rsidRDefault="00AB26B7" w:rsidP="00F17CC0"/>
        </w:tc>
      </w:tr>
      <w:tr w:rsidR="00AB26B7" w:rsidRPr="00096105" w14:paraId="53C4DF67" w14:textId="77777777" w:rsidTr="00F17CC0">
        <w:tc>
          <w:tcPr>
            <w:tcW w:w="3397" w:type="dxa"/>
          </w:tcPr>
          <w:p w14:paraId="7A8C4CC7" w14:textId="77777777" w:rsidR="00AB26B7" w:rsidRPr="00096105" w:rsidRDefault="00AB26B7" w:rsidP="00F17CC0">
            <w:r w:rsidRPr="00096105">
              <w:t>Close links, Conflicts of Interest and Common Ownership with respect to Execution Venues</w:t>
            </w:r>
          </w:p>
        </w:tc>
        <w:tc>
          <w:tcPr>
            <w:tcW w:w="5619" w:type="dxa"/>
          </w:tcPr>
          <w:p w14:paraId="736A6580" w14:textId="77777777" w:rsidR="00AB26B7" w:rsidRPr="00096105" w:rsidRDefault="00AB26B7" w:rsidP="00F17CC0">
            <w:r w:rsidRPr="00096105">
              <w:t>N/A</w:t>
            </w:r>
          </w:p>
        </w:tc>
      </w:tr>
      <w:tr w:rsidR="00AB26B7" w:rsidRPr="00096105" w14:paraId="7A3B6331" w14:textId="77777777" w:rsidTr="00F17CC0">
        <w:tc>
          <w:tcPr>
            <w:tcW w:w="3397" w:type="dxa"/>
          </w:tcPr>
          <w:p w14:paraId="42BB4EA8"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26C54D83" w14:textId="77777777" w:rsidR="00AB26B7" w:rsidRPr="00096105" w:rsidRDefault="00AB26B7" w:rsidP="00F17CC0">
            <w:r w:rsidRPr="00096105">
              <w:t>N/A</w:t>
            </w:r>
          </w:p>
        </w:tc>
      </w:tr>
      <w:tr w:rsidR="0002011F" w:rsidRPr="00096105" w14:paraId="76F5ED56" w14:textId="77777777" w:rsidTr="00F17CC0">
        <w:tc>
          <w:tcPr>
            <w:tcW w:w="3397" w:type="dxa"/>
          </w:tcPr>
          <w:p w14:paraId="7376CA2E" w14:textId="13FE7F7D"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2F3748F0" w14:textId="256DA093" w:rsidR="0002011F" w:rsidRPr="00096105" w:rsidRDefault="0002011F" w:rsidP="0002011F">
            <w:r>
              <w:t>N/A</w:t>
            </w:r>
          </w:p>
        </w:tc>
      </w:tr>
      <w:tr w:rsidR="0002011F" w:rsidRPr="00096105" w14:paraId="5466631D" w14:textId="77777777" w:rsidTr="00F17CC0">
        <w:tc>
          <w:tcPr>
            <w:tcW w:w="3397" w:type="dxa"/>
          </w:tcPr>
          <w:p w14:paraId="53594F60" w14:textId="77777777" w:rsidR="0002011F" w:rsidRPr="00096105" w:rsidRDefault="0002011F" w:rsidP="0002011F">
            <w:r w:rsidRPr="00096105">
              <w:t>How order execution differs according to client categorisation</w:t>
            </w:r>
          </w:p>
        </w:tc>
        <w:tc>
          <w:tcPr>
            <w:tcW w:w="5619" w:type="dxa"/>
          </w:tcPr>
          <w:p w14:paraId="24470A64" w14:textId="0D637ADD" w:rsidR="0002011F" w:rsidRPr="00096105" w:rsidRDefault="0002011F" w:rsidP="0002011F">
            <w:r w:rsidRPr="00096105">
              <w:t xml:space="preserve">We do not differentiate </w:t>
            </w:r>
            <w:r>
              <w:t xml:space="preserve">approach based on </w:t>
            </w:r>
            <w:r w:rsidRPr="00096105">
              <w:t>client categorisation</w:t>
            </w:r>
          </w:p>
        </w:tc>
      </w:tr>
      <w:tr w:rsidR="0002011F" w:rsidRPr="00096105" w14:paraId="7ABC2376" w14:textId="77777777" w:rsidTr="00F17CC0">
        <w:tc>
          <w:tcPr>
            <w:tcW w:w="3397" w:type="dxa"/>
          </w:tcPr>
          <w:p w14:paraId="76F51FA1" w14:textId="77777777" w:rsidR="0002011F" w:rsidRPr="00096105" w:rsidRDefault="0002011F" w:rsidP="0002011F">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34CB6A5C" w14:textId="54B48484" w:rsidR="0002011F" w:rsidRPr="00096105" w:rsidRDefault="0002011F" w:rsidP="0002011F">
            <w:r w:rsidRPr="00096105">
              <w:t>As per our published Execution Policy, ordinarily price and overall costs will merit the greatest importance.</w:t>
            </w:r>
          </w:p>
        </w:tc>
      </w:tr>
      <w:tr w:rsidR="0002011F" w:rsidRPr="00096105" w14:paraId="440D88C9" w14:textId="77777777" w:rsidTr="00F17CC0">
        <w:tc>
          <w:tcPr>
            <w:tcW w:w="3397" w:type="dxa"/>
          </w:tcPr>
          <w:p w14:paraId="1EA9501E" w14:textId="77777777" w:rsidR="0002011F" w:rsidRPr="00096105" w:rsidRDefault="0002011F" w:rsidP="0002011F">
            <w:r w:rsidRPr="00096105">
              <w:t>Use of data or tools relating to the quality of execution, including any data published under MiFID II.</w:t>
            </w:r>
          </w:p>
        </w:tc>
        <w:tc>
          <w:tcPr>
            <w:tcW w:w="5619" w:type="dxa"/>
          </w:tcPr>
          <w:p w14:paraId="60735840" w14:textId="77777777" w:rsidR="0002011F" w:rsidRPr="00096105" w:rsidRDefault="0002011F" w:rsidP="0002011F">
            <w:r w:rsidRPr="00096105">
              <w:t>N/A</w:t>
            </w:r>
          </w:p>
        </w:tc>
      </w:tr>
      <w:tr w:rsidR="0002011F" w:rsidRPr="00096105" w14:paraId="4997C6D2" w14:textId="77777777" w:rsidTr="00F17CC0">
        <w:tc>
          <w:tcPr>
            <w:tcW w:w="3397" w:type="dxa"/>
          </w:tcPr>
          <w:p w14:paraId="56455252" w14:textId="5B7088D0" w:rsidR="0002011F" w:rsidRPr="00096105" w:rsidRDefault="0002011F" w:rsidP="0002011F">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3C7402AF" w14:textId="77777777" w:rsidR="0002011F" w:rsidRPr="00096105" w:rsidRDefault="0002011F" w:rsidP="0002011F">
            <w:r w:rsidRPr="00096105">
              <w:lastRenderedPageBreak/>
              <w:t>N/A</w:t>
            </w:r>
          </w:p>
        </w:tc>
      </w:tr>
    </w:tbl>
    <w:p w14:paraId="5EB3388F" w14:textId="1EA5A66B" w:rsidR="00AB26B7" w:rsidRDefault="00AB26B7" w:rsidP="00AB26B7"/>
    <w:p w14:paraId="53EE20AD" w14:textId="3C6D19DF" w:rsidR="0002011F" w:rsidRDefault="0002011F">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53DE9FC4" w14:textId="77777777" w:rsidTr="00F17CC0">
        <w:tc>
          <w:tcPr>
            <w:tcW w:w="9016" w:type="dxa"/>
            <w:gridSpan w:val="2"/>
          </w:tcPr>
          <w:p w14:paraId="02C17CD5" w14:textId="749A4FD1" w:rsidR="00AB26B7" w:rsidRPr="00096105" w:rsidRDefault="00AB26B7" w:rsidP="00F17CC0">
            <w:pPr>
              <w:rPr>
                <w:b/>
                <w:bCs/>
              </w:rPr>
            </w:pPr>
            <w:r w:rsidRPr="00096105">
              <w:lastRenderedPageBreak/>
              <w:br w:type="page"/>
            </w:r>
            <w:r w:rsidRPr="00096105">
              <w:rPr>
                <w:b/>
                <w:bCs/>
              </w:rPr>
              <w:t>Execution Analysis Summary</w:t>
            </w:r>
            <w:r>
              <w:rPr>
                <w:b/>
                <w:bCs/>
              </w:rPr>
              <w:t xml:space="preserve"> – Contracts for Difference (CFDs)</w:t>
            </w:r>
          </w:p>
        </w:tc>
      </w:tr>
      <w:tr w:rsidR="00AB26B7" w:rsidRPr="00096105" w14:paraId="20D6C42B" w14:textId="77777777" w:rsidTr="00F17CC0">
        <w:tc>
          <w:tcPr>
            <w:tcW w:w="3397" w:type="dxa"/>
          </w:tcPr>
          <w:p w14:paraId="1EA3F860" w14:textId="77777777" w:rsidR="00AB26B7" w:rsidRPr="00096105" w:rsidRDefault="00AB26B7" w:rsidP="00F17CC0">
            <w:r w:rsidRPr="00096105">
              <w:t>Period</w:t>
            </w:r>
          </w:p>
        </w:tc>
        <w:tc>
          <w:tcPr>
            <w:tcW w:w="5619" w:type="dxa"/>
          </w:tcPr>
          <w:p w14:paraId="137C4103" w14:textId="77777777" w:rsidR="00AB26B7" w:rsidRPr="00096105" w:rsidRDefault="00AB26B7" w:rsidP="00F17CC0">
            <w:r w:rsidRPr="00096105">
              <w:t>1 January 2019 – 31 December 2019</w:t>
            </w:r>
          </w:p>
        </w:tc>
      </w:tr>
      <w:tr w:rsidR="00AB26B7" w:rsidRPr="00096105" w14:paraId="37CBFEE8" w14:textId="77777777" w:rsidTr="00F17CC0">
        <w:tc>
          <w:tcPr>
            <w:tcW w:w="3397" w:type="dxa"/>
          </w:tcPr>
          <w:p w14:paraId="60000A07" w14:textId="77777777" w:rsidR="00AB26B7" w:rsidRPr="00096105" w:rsidRDefault="00AB26B7" w:rsidP="00F17CC0">
            <w:r w:rsidRPr="00096105">
              <w:t>Importance of Execution Factors</w:t>
            </w:r>
          </w:p>
        </w:tc>
        <w:tc>
          <w:tcPr>
            <w:tcW w:w="5619" w:type="dxa"/>
          </w:tcPr>
          <w:p w14:paraId="7C8D957E"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5EACF2A4" w14:textId="2D182A19" w:rsidR="00AB26B7" w:rsidRDefault="00AB26B7" w:rsidP="00F17CC0">
            <w:r>
              <w:t>• Price (excluding external costs</w:t>
            </w:r>
            <w:r w:rsidR="00AD16F7">
              <w:t>,</w:t>
            </w:r>
            <w:r>
              <w:t xml:space="preserve"> fees and charges );</w:t>
            </w:r>
          </w:p>
          <w:p w14:paraId="2BE55EC3"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197128DF" w14:textId="77777777" w:rsidR="00AB26B7" w:rsidRDefault="00AB26B7" w:rsidP="00F17CC0">
            <w:r>
              <w:t>• Speed of execution;</w:t>
            </w:r>
          </w:p>
          <w:p w14:paraId="2539B82C" w14:textId="77777777" w:rsidR="00AB26B7" w:rsidRDefault="00AB26B7" w:rsidP="00F17CC0">
            <w:r>
              <w:t>• Likelihood of execution and settlement;</w:t>
            </w:r>
          </w:p>
          <w:p w14:paraId="325B3C90" w14:textId="77777777" w:rsidR="00AB26B7" w:rsidRDefault="00AB26B7" w:rsidP="00F17CC0">
            <w:r>
              <w:t>• Size and nature of the order;</w:t>
            </w:r>
          </w:p>
          <w:p w14:paraId="712F2C36" w14:textId="77777777" w:rsidR="00AB26B7" w:rsidRDefault="00AB26B7" w:rsidP="00F17CC0">
            <w:r>
              <w:t>• Likely market impact;</w:t>
            </w:r>
          </w:p>
          <w:p w14:paraId="39C013E5" w14:textId="77777777" w:rsidR="00AB26B7" w:rsidRDefault="00AB26B7" w:rsidP="00F17CC0">
            <w:r>
              <w:t>• Nature of the market for the financial instrument; and</w:t>
            </w:r>
          </w:p>
          <w:p w14:paraId="18C810D6" w14:textId="77777777" w:rsidR="00AB26B7" w:rsidRDefault="00AB26B7" w:rsidP="00F17CC0">
            <w:r>
              <w:t>• Any other consideration deemed relevant to the execution of the transaction.</w:t>
            </w:r>
          </w:p>
          <w:p w14:paraId="4E3A90A6" w14:textId="77777777" w:rsidR="00AB26B7" w:rsidRPr="00096105" w:rsidRDefault="00AB26B7" w:rsidP="00F17CC0"/>
        </w:tc>
      </w:tr>
      <w:tr w:rsidR="00AB26B7" w:rsidRPr="00096105" w14:paraId="7EDE57E8" w14:textId="77777777" w:rsidTr="00F17CC0">
        <w:tc>
          <w:tcPr>
            <w:tcW w:w="3397" w:type="dxa"/>
          </w:tcPr>
          <w:p w14:paraId="27FED284" w14:textId="77777777" w:rsidR="00AB26B7" w:rsidRPr="00096105" w:rsidRDefault="00AB26B7" w:rsidP="00F17CC0">
            <w:r w:rsidRPr="00096105">
              <w:t>Close links, Conflicts of Interest and Common Ownership with respect to Execution Venues</w:t>
            </w:r>
          </w:p>
        </w:tc>
        <w:tc>
          <w:tcPr>
            <w:tcW w:w="5619" w:type="dxa"/>
          </w:tcPr>
          <w:p w14:paraId="75DEC952" w14:textId="77777777" w:rsidR="00AB26B7" w:rsidRPr="00096105" w:rsidRDefault="00AB26B7" w:rsidP="00F17CC0">
            <w:r w:rsidRPr="00096105">
              <w:t>N/A</w:t>
            </w:r>
          </w:p>
        </w:tc>
      </w:tr>
      <w:tr w:rsidR="00AB26B7" w:rsidRPr="00096105" w14:paraId="669E3257" w14:textId="77777777" w:rsidTr="00F17CC0">
        <w:tc>
          <w:tcPr>
            <w:tcW w:w="3397" w:type="dxa"/>
          </w:tcPr>
          <w:p w14:paraId="32DF48B5"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3AF5111C" w14:textId="77777777" w:rsidR="00AB26B7" w:rsidRPr="00096105" w:rsidRDefault="00AB26B7" w:rsidP="00F17CC0">
            <w:r w:rsidRPr="00096105">
              <w:t>N/A</w:t>
            </w:r>
          </w:p>
        </w:tc>
      </w:tr>
      <w:tr w:rsidR="0002011F" w:rsidRPr="00096105" w14:paraId="22CA5BB6" w14:textId="77777777" w:rsidTr="00F17CC0">
        <w:tc>
          <w:tcPr>
            <w:tcW w:w="3397" w:type="dxa"/>
          </w:tcPr>
          <w:p w14:paraId="13D0D4DB" w14:textId="6A366C11"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4D828237" w14:textId="44DCBA24" w:rsidR="0002011F" w:rsidRPr="00096105" w:rsidRDefault="0002011F" w:rsidP="0002011F">
            <w:r>
              <w:t>N/A</w:t>
            </w:r>
          </w:p>
        </w:tc>
      </w:tr>
      <w:tr w:rsidR="0002011F" w:rsidRPr="00096105" w14:paraId="6FBFCE9C" w14:textId="77777777" w:rsidTr="00F17CC0">
        <w:tc>
          <w:tcPr>
            <w:tcW w:w="3397" w:type="dxa"/>
          </w:tcPr>
          <w:p w14:paraId="5DFE2545" w14:textId="77777777" w:rsidR="0002011F" w:rsidRPr="00096105" w:rsidRDefault="0002011F" w:rsidP="0002011F">
            <w:r w:rsidRPr="00096105">
              <w:t>How order execution differs according to client categorisation</w:t>
            </w:r>
          </w:p>
        </w:tc>
        <w:tc>
          <w:tcPr>
            <w:tcW w:w="5619" w:type="dxa"/>
          </w:tcPr>
          <w:p w14:paraId="79E8B6F5" w14:textId="1BFEA9CC" w:rsidR="0002011F" w:rsidRPr="00096105" w:rsidRDefault="0002011F" w:rsidP="0002011F">
            <w:r w:rsidRPr="00096105">
              <w:t xml:space="preserve">We do not differentiate </w:t>
            </w:r>
            <w:r>
              <w:t xml:space="preserve">approach based on </w:t>
            </w:r>
            <w:r w:rsidRPr="00096105">
              <w:t>client categorisation</w:t>
            </w:r>
          </w:p>
        </w:tc>
      </w:tr>
      <w:tr w:rsidR="0002011F" w:rsidRPr="00096105" w14:paraId="663A858D" w14:textId="77777777" w:rsidTr="00F17CC0">
        <w:tc>
          <w:tcPr>
            <w:tcW w:w="3397" w:type="dxa"/>
          </w:tcPr>
          <w:p w14:paraId="2C662F62" w14:textId="77777777" w:rsidR="0002011F" w:rsidRPr="00096105" w:rsidRDefault="0002011F" w:rsidP="0002011F">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67348E0D" w14:textId="77777777" w:rsidR="0002011F" w:rsidRPr="00096105" w:rsidRDefault="0002011F" w:rsidP="0002011F">
            <w:r w:rsidRPr="00096105">
              <w:t>We do not trade CFDs for retail clients</w:t>
            </w:r>
          </w:p>
        </w:tc>
      </w:tr>
      <w:tr w:rsidR="0002011F" w:rsidRPr="00096105" w14:paraId="7337F71A" w14:textId="77777777" w:rsidTr="00F17CC0">
        <w:tc>
          <w:tcPr>
            <w:tcW w:w="3397" w:type="dxa"/>
          </w:tcPr>
          <w:p w14:paraId="6E226396" w14:textId="77777777" w:rsidR="0002011F" w:rsidRPr="00096105" w:rsidRDefault="0002011F" w:rsidP="0002011F">
            <w:r w:rsidRPr="00096105">
              <w:t>Use of data or tools relating to the quality of execution, including any data published under MiFID II.</w:t>
            </w:r>
          </w:p>
        </w:tc>
        <w:tc>
          <w:tcPr>
            <w:tcW w:w="5619" w:type="dxa"/>
          </w:tcPr>
          <w:p w14:paraId="38536AE0" w14:textId="77777777" w:rsidR="0002011F" w:rsidRPr="00096105" w:rsidRDefault="0002011F" w:rsidP="0002011F">
            <w:r w:rsidRPr="00096105">
              <w:t>N/A</w:t>
            </w:r>
          </w:p>
        </w:tc>
      </w:tr>
      <w:tr w:rsidR="0002011F" w14:paraId="134BF02F" w14:textId="77777777" w:rsidTr="00F17CC0">
        <w:tc>
          <w:tcPr>
            <w:tcW w:w="3397" w:type="dxa"/>
          </w:tcPr>
          <w:p w14:paraId="450F9795" w14:textId="1313C904" w:rsidR="0002011F" w:rsidRPr="00096105" w:rsidRDefault="0002011F" w:rsidP="0002011F">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023701C7" w14:textId="77777777" w:rsidR="0002011F" w:rsidRDefault="0002011F" w:rsidP="0002011F">
            <w:r w:rsidRPr="00096105">
              <w:lastRenderedPageBreak/>
              <w:t>N/A</w:t>
            </w:r>
          </w:p>
        </w:tc>
      </w:tr>
    </w:tbl>
    <w:p w14:paraId="6349FA17" w14:textId="4256CA75" w:rsidR="00AB26B7" w:rsidRDefault="00AB26B7" w:rsidP="00AB26B7"/>
    <w:p w14:paraId="16A1C073" w14:textId="5660BC5D" w:rsidR="00AB26B7" w:rsidRDefault="00AB26B7">
      <w:pPr>
        <w:jc w:val="left"/>
      </w:pPr>
      <w:r>
        <w:br w:type="page"/>
      </w:r>
    </w:p>
    <w:tbl>
      <w:tblPr>
        <w:tblStyle w:val="TableGrid"/>
        <w:tblW w:w="0" w:type="auto"/>
        <w:tblLook w:val="04A0" w:firstRow="1" w:lastRow="0" w:firstColumn="1" w:lastColumn="0" w:noHBand="0" w:noVBand="1"/>
      </w:tblPr>
      <w:tblGrid>
        <w:gridCol w:w="3397"/>
        <w:gridCol w:w="5619"/>
      </w:tblGrid>
      <w:tr w:rsidR="00AB26B7" w:rsidRPr="00096105" w14:paraId="4EB9435A" w14:textId="77777777" w:rsidTr="00F17CC0">
        <w:tc>
          <w:tcPr>
            <w:tcW w:w="9016" w:type="dxa"/>
            <w:gridSpan w:val="2"/>
          </w:tcPr>
          <w:p w14:paraId="71C286C6" w14:textId="5B26D1DE" w:rsidR="00AB26B7" w:rsidRPr="00096105" w:rsidRDefault="00AB26B7" w:rsidP="00F17CC0">
            <w:pPr>
              <w:rPr>
                <w:b/>
                <w:bCs/>
              </w:rPr>
            </w:pPr>
            <w:r w:rsidRPr="00096105">
              <w:rPr>
                <w:b/>
                <w:bCs/>
              </w:rPr>
              <w:lastRenderedPageBreak/>
              <w:t>Execution Analysis Summary</w:t>
            </w:r>
            <w:r>
              <w:rPr>
                <w:b/>
                <w:bCs/>
              </w:rPr>
              <w:t xml:space="preserve"> – Interest Rate Derivatives</w:t>
            </w:r>
          </w:p>
        </w:tc>
      </w:tr>
      <w:tr w:rsidR="00AB26B7" w:rsidRPr="00096105" w14:paraId="13E3BA84" w14:textId="77777777" w:rsidTr="00F17CC0">
        <w:tc>
          <w:tcPr>
            <w:tcW w:w="3397" w:type="dxa"/>
          </w:tcPr>
          <w:p w14:paraId="3459C36A" w14:textId="77777777" w:rsidR="00AB26B7" w:rsidRPr="00096105" w:rsidRDefault="00AB26B7" w:rsidP="00F17CC0">
            <w:r w:rsidRPr="00096105">
              <w:t>Period</w:t>
            </w:r>
          </w:p>
        </w:tc>
        <w:tc>
          <w:tcPr>
            <w:tcW w:w="5619" w:type="dxa"/>
          </w:tcPr>
          <w:p w14:paraId="72AA8CAD" w14:textId="77777777" w:rsidR="00AB26B7" w:rsidRPr="00096105" w:rsidRDefault="00AB26B7" w:rsidP="00F17CC0">
            <w:r w:rsidRPr="00096105">
              <w:t>1 January 2019 – 31 December 2019</w:t>
            </w:r>
          </w:p>
        </w:tc>
      </w:tr>
      <w:tr w:rsidR="00AB26B7" w:rsidRPr="00096105" w14:paraId="3D995D8B" w14:textId="77777777" w:rsidTr="00F17CC0">
        <w:tc>
          <w:tcPr>
            <w:tcW w:w="3397" w:type="dxa"/>
          </w:tcPr>
          <w:p w14:paraId="22772290" w14:textId="77777777" w:rsidR="00AB26B7" w:rsidRPr="00096105" w:rsidRDefault="00AB26B7" w:rsidP="00F17CC0">
            <w:r w:rsidRPr="00096105">
              <w:t>Importance of Execution Factors</w:t>
            </w:r>
          </w:p>
        </w:tc>
        <w:tc>
          <w:tcPr>
            <w:tcW w:w="5619" w:type="dxa"/>
          </w:tcPr>
          <w:p w14:paraId="4F75A22A" w14:textId="77777777" w:rsidR="00AB26B7" w:rsidRDefault="00AB26B7" w:rsidP="00F17CC0">
            <w:r w:rsidRPr="00096105">
              <w:t xml:space="preserve">As per our published Execution Policy, ordinarily price and overall costs will merit the greatest importance. </w:t>
            </w:r>
            <w:r>
              <w:t>In the absence of any specific instructions from the client, we took into account, if relevant, the following the following factors (‘Execution Factors’) when executing a transaction on the client's behalf:</w:t>
            </w:r>
          </w:p>
          <w:p w14:paraId="6EDAF368" w14:textId="6225B13F" w:rsidR="00AB26B7" w:rsidRDefault="00AB26B7" w:rsidP="00F17CC0">
            <w:r>
              <w:t>• Price (excluding external costs</w:t>
            </w:r>
            <w:r w:rsidR="00AD16F7">
              <w:t>,</w:t>
            </w:r>
            <w:r>
              <w:t xml:space="preserve"> fees and charges );</w:t>
            </w:r>
          </w:p>
          <w:p w14:paraId="60B8C7ED" w14:textId="77777777" w:rsidR="00AB26B7" w:rsidRDefault="00AB26B7" w:rsidP="00F17CC0">
            <w:r>
              <w:t>• Any ‘External Costs’ relevant to the execution (i.e. any external costs charged by third parties which are related to the execution of the transaction and which are directly passed on to the client, such as, execution venue fees, clearing and settlement fees and any other fees paid to third parties);</w:t>
            </w:r>
          </w:p>
          <w:p w14:paraId="2BDAC5B6" w14:textId="77777777" w:rsidR="00AB26B7" w:rsidRDefault="00AB26B7" w:rsidP="00F17CC0">
            <w:r>
              <w:t>• Speed of execution;</w:t>
            </w:r>
          </w:p>
          <w:p w14:paraId="02DF9F34" w14:textId="77777777" w:rsidR="00AB26B7" w:rsidRDefault="00AB26B7" w:rsidP="00F17CC0">
            <w:r>
              <w:t>• Likelihood of execution and settlement;</w:t>
            </w:r>
          </w:p>
          <w:p w14:paraId="57EB3753" w14:textId="77777777" w:rsidR="00AB26B7" w:rsidRDefault="00AB26B7" w:rsidP="00F17CC0">
            <w:r>
              <w:t>• Size and nature of the order;</w:t>
            </w:r>
          </w:p>
          <w:p w14:paraId="75B65626" w14:textId="77777777" w:rsidR="00AB26B7" w:rsidRDefault="00AB26B7" w:rsidP="00F17CC0">
            <w:r>
              <w:t>• Likely market impact;</w:t>
            </w:r>
          </w:p>
          <w:p w14:paraId="6F13EF55" w14:textId="77777777" w:rsidR="00AB26B7" w:rsidRDefault="00AB26B7" w:rsidP="00F17CC0">
            <w:r>
              <w:t>• Nature of the market for the financial instrument; and</w:t>
            </w:r>
          </w:p>
          <w:p w14:paraId="6AD16FB6" w14:textId="77777777" w:rsidR="00AB26B7" w:rsidRDefault="00AB26B7" w:rsidP="00F17CC0">
            <w:r>
              <w:t>• Any other consideration deemed relevant to the execution of the transaction.</w:t>
            </w:r>
          </w:p>
          <w:p w14:paraId="7FB77F3E" w14:textId="77777777" w:rsidR="00AB26B7" w:rsidRPr="00096105" w:rsidRDefault="00AB26B7" w:rsidP="00F17CC0"/>
        </w:tc>
      </w:tr>
      <w:tr w:rsidR="00AB26B7" w:rsidRPr="00096105" w14:paraId="36166E54" w14:textId="77777777" w:rsidTr="00F17CC0">
        <w:tc>
          <w:tcPr>
            <w:tcW w:w="3397" w:type="dxa"/>
          </w:tcPr>
          <w:p w14:paraId="3FA66640" w14:textId="77777777" w:rsidR="00AB26B7" w:rsidRPr="00096105" w:rsidRDefault="00AB26B7" w:rsidP="00F17CC0">
            <w:r w:rsidRPr="00096105">
              <w:t>Close links, Conflicts of Interest and Common Ownership with respect to Execution Venues</w:t>
            </w:r>
          </w:p>
        </w:tc>
        <w:tc>
          <w:tcPr>
            <w:tcW w:w="5619" w:type="dxa"/>
          </w:tcPr>
          <w:p w14:paraId="6DAD8D66" w14:textId="77777777" w:rsidR="00AB26B7" w:rsidRPr="00096105" w:rsidRDefault="00AB26B7" w:rsidP="00F17CC0">
            <w:r w:rsidRPr="00096105">
              <w:t>N/A</w:t>
            </w:r>
          </w:p>
        </w:tc>
      </w:tr>
      <w:tr w:rsidR="00AB26B7" w:rsidRPr="00096105" w14:paraId="6FC26AD7" w14:textId="77777777" w:rsidTr="00F17CC0">
        <w:tc>
          <w:tcPr>
            <w:tcW w:w="3397" w:type="dxa"/>
          </w:tcPr>
          <w:p w14:paraId="15935220" w14:textId="77777777" w:rsidR="00AB26B7" w:rsidRPr="00096105" w:rsidRDefault="00AB26B7" w:rsidP="00F17CC0">
            <w:r w:rsidRPr="00096105">
              <w:t>Arrangements with any execution venues regarding payments, discounts, rebates or non-monetary benefits received</w:t>
            </w:r>
          </w:p>
        </w:tc>
        <w:tc>
          <w:tcPr>
            <w:tcW w:w="5619" w:type="dxa"/>
          </w:tcPr>
          <w:p w14:paraId="4FC265A6" w14:textId="77777777" w:rsidR="00AB26B7" w:rsidRPr="00096105" w:rsidRDefault="00AB26B7" w:rsidP="00F17CC0">
            <w:r w:rsidRPr="00096105">
              <w:t>N/A</w:t>
            </w:r>
          </w:p>
        </w:tc>
      </w:tr>
      <w:tr w:rsidR="0002011F" w:rsidRPr="00096105" w14:paraId="61F989EE" w14:textId="77777777" w:rsidTr="00F17CC0">
        <w:tc>
          <w:tcPr>
            <w:tcW w:w="3397" w:type="dxa"/>
          </w:tcPr>
          <w:p w14:paraId="779356FE" w14:textId="7F64F62C" w:rsidR="0002011F" w:rsidRPr="00096105" w:rsidRDefault="0002011F" w:rsidP="0002011F">
            <w:r>
              <w:t>A</w:t>
            </w:r>
            <w:r w:rsidRPr="0002011F">
              <w:t>n explanation of the factors that led to a change in the list of execution venues listed in the firm’s execution policy, if such a change occurred</w:t>
            </w:r>
          </w:p>
        </w:tc>
        <w:tc>
          <w:tcPr>
            <w:tcW w:w="5619" w:type="dxa"/>
          </w:tcPr>
          <w:p w14:paraId="6A7D3F7D" w14:textId="5F44EAF2" w:rsidR="0002011F" w:rsidRPr="00096105" w:rsidRDefault="0002011F" w:rsidP="0002011F">
            <w:r>
              <w:t>N/A</w:t>
            </w:r>
          </w:p>
        </w:tc>
      </w:tr>
      <w:tr w:rsidR="0002011F" w:rsidRPr="00096105" w14:paraId="6701BA40" w14:textId="77777777" w:rsidTr="00F17CC0">
        <w:tc>
          <w:tcPr>
            <w:tcW w:w="3397" w:type="dxa"/>
          </w:tcPr>
          <w:p w14:paraId="1089BCA2" w14:textId="77777777" w:rsidR="0002011F" w:rsidRPr="00096105" w:rsidRDefault="0002011F" w:rsidP="0002011F">
            <w:r w:rsidRPr="00096105">
              <w:t>How order execution differs according to client categorisation</w:t>
            </w:r>
          </w:p>
        </w:tc>
        <w:tc>
          <w:tcPr>
            <w:tcW w:w="5619" w:type="dxa"/>
          </w:tcPr>
          <w:p w14:paraId="0F165684" w14:textId="3BFAF604" w:rsidR="0002011F" w:rsidRPr="00096105" w:rsidRDefault="0002011F" w:rsidP="0002011F">
            <w:r w:rsidRPr="00096105">
              <w:t xml:space="preserve">We do not differentiate </w:t>
            </w:r>
            <w:r>
              <w:t xml:space="preserve">approach based on </w:t>
            </w:r>
            <w:r w:rsidRPr="00096105">
              <w:t>client categorisation</w:t>
            </w:r>
          </w:p>
        </w:tc>
      </w:tr>
      <w:tr w:rsidR="0002011F" w:rsidRPr="00096105" w14:paraId="54053CFA" w14:textId="77777777" w:rsidTr="00F17CC0">
        <w:tc>
          <w:tcPr>
            <w:tcW w:w="3397" w:type="dxa"/>
          </w:tcPr>
          <w:p w14:paraId="48532136" w14:textId="77777777" w:rsidR="0002011F" w:rsidRPr="00096105" w:rsidRDefault="0002011F" w:rsidP="0002011F">
            <w:r w:rsidRPr="00096105">
              <w:t>Other criteria given precedence over immediate price and cost when executing retail client orders and how these other criteria were instrumental in delivering the best possible result in terms of the total consideration to the client.</w:t>
            </w:r>
          </w:p>
        </w:tc>
        <w:tc>
          <w:tcPr>
            <w:tcW w:w="5619" w:type="dxa"/>
          </w:tcPr>
          <w:p w14:paraId="382DE70A" w14:textId="7A5DB429" w:rsidR="0002011F" w:rsidRPr="00096105" w:rsidRDefault="0002011F" w:rsidP="0002011F">
            <w:r w:rsidRPr="00096105">
              <w:t>As per our published Execution Policy, ordinarily price and overall costs will merit the greatest importance.</w:t>
            </w:r>
          </w:p>
        </w:tc>
      </w:tr>
      <w:tr w:rsidR="0002011F" w:rsidRPr="00096105" w14:paraId="69B1C5AF" w14:textId="77777777" w:rsidTr="00F17CC0">
        <w:tc>
          <w:tcPr>
            <w:tcW w:w="3397" w:type="dxa"/>
          </w:tcPr>
          <w:p w14:paraId="6801348F" w14:textId="77777777" w:rsidR="0002011F" w:rsidRPr="00096105" w:rsidRDefault="0002011F" w:rsidP="0002011F">
            <w:r w:rsidRPr="00096105">
              <w:t>Use of data or tools relating to the quality of execution, including any data published under MiFID II.</w:t>
            </w:r>
          </w:p>
        </w:tc>
        <w:tc>
          <w:tcPr>
            <w:tcW w:w="5619" w:type="dxa"/>
          </w:tcPr>
          <w:p w14:paraId="114A47D1" w14:textId="77777777" w:rsidR="0002011F" w:rsidRPr="00096105" w:rsidRDefault="0002011F" w:rsidP="0002011F">
            <w:r w:rsidRPr="00096105">
              <w:t>N/A</w:t>
            </w:r>
          </w:p>
        </w:tc>
      </w:tr>
      <w:tr w:rsidR="0002011F" w:rsidRPr="00096105" w14:paraId="12BAF89F" w14:textId="77777777" w:rsidTr="00F17CC0">
        <w:tc>
          <w:tcPr>
            <w:tcW w:w="3397" w:type="dxa"/>
          </w:tcPr>
          <w:p w14:paraId="63F9C395" w14:textId="5B0DAAFB" w:rsidR="0002011F" w:rsidRPr="00096105" w:rsidRDefault="0002011F" w:rsidP="0002011F">
            <w:pPr>
              <w:rPr>
                <w:b/>
                <w:bCs/>
              </w:rPr>
            </w:pPr>
            <w:r w:rsidRPr="00096105">
              <w:t xml:space="preserve">How Britannia Global Markets has used output of a consolidated tape </w:t>
            </w:r>
            <w:r w:rsidRPr="00096105">
              <w:lastRenderedPageBreak/>
              <w:t>provider established under Article 65 of Directive 2014/65/EU.</w:t>
            </w:r>
          </w:p>
        </w:tc>
        <w:tc>
          <w:tcPr>
            <w:tcW w:w="5619" w:type="dxa"/>
          </w:tcPr>
          <w:p w14:paraId="7FD11260" w14:textId="77777777" w:rsidR="0002011F" w:rsidRPr="00096105" w:rsidRDefault="0002011F" w:rsidP="0002011F">
            <w:r w:rsidRPr="00096105">
              <w:lastRenderedPageBreak/>
              <w:t>N/A</w:t>
            </w:r>
          </w:p>
        </w:tc>
      </w:tr>
    </w:tbl>
    <w:p w14:paraId="58272BA7" w14:textId="77777777" w:rsidR="00AB26B7" w:rsidRDefault="00AB26B7" w:rsidP="00AB26B7"/>
    <w:sectPr w:rsidR="00AB26B7" w:rsidSect="000A18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D1EC" w14:textId="77777777" w:rsidR="007236E4" w:rsidRDefault="007236E4" w:rsidP="00084D2D">
      <w:r>
        <w:separator/>
      </w:r>
    </w:p>
  </w:endnote>
  <w:endnote w:type="continuationSeparator" w:id="0">
    <w:p w14:paraId="17032D85" w14:textId="77777777" w:rsidR="007236E4" w:rsidRDefault="007236E4" w:rsidP="0008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DC8D" w14:textId="77777777" w:rsidR="00970D4F" w:rsidRDefault="0097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5E80" w14:textId="3CDC8FC7" w:rsidR="00D634D5" w:rsidRDefault="00970D4F" w:rsidP="00970D4F">
    <w:pPr>
      <w:pStyle w:val="Default"/>
      <w:tabs>
        <w:tab w:val="left" w:pos="4155"/>
      </w:tabs>
    </w:pPr>
    <w:bookmarkStart w:id="8" w:name="_Hlk25311143"/>
    <w:bookmarkStart w:id="9" w:name="_Hlk25311144"/>
    <w:bookmarkStart w:id="10" w:name="_Hlk25311161"/>
    <w:bookmarkStart w:id="11" w:name="_Hlk25311162"/>
    <w:bookmarkStart w:id="12" w:name="_Hlk25311173"/>
    <w:bookmarkStart w:id="13" w:name="_Hlk25311174"/>
    <w:bookmarkStart w:id="14" w:name="_Hlk25311178"/>
    <w:bookmarkStart w:id="15" w:name="_Hlk25311179"/>
    <w:r>
      <w:tab/>
    </w:r>
  </w:p>
  <w:p w14:paraId="5DB51F37" w14:textId="77777777" w:rsidR="00D7308B" w:rsidRDefault="008A0D80" w:rsidP="00D7308B">
    <w:pPr>
      <w:pStyle w:val="Footer"/>
      <w:jc w:val="center"/>
      <w:rPr>
        <w:sz w:val="16"/>
        <w:szCs w:val="16"/>
      </w:rPr>
    </w:pPr>
    <w:r>
      <w:rPr>
        <w:sz w:val="16"/>
        <w:szCs w:val="16"/>
      </w:rPr>
      <w:t xml:space="preserve">Britannia </w:t>
    </w:r>
    <w:r w:rsidR="00831EA4">
      <w:rPr>
        <w:sz w:val="16"/>
        <w:szCs w:val="16"/>
      </w:rPr>
      <w:t>Global Markets</w:t>
    </w:r>
    <w:r w:rsidR="00D634D5">
      <w:rPr>
        <w:sz w:val="16"/>
        <w:szCs w:val="16"/>
      </w:rPr>
      <w:t xml:space="preserve"> Limited is </w:t>
    </w:r>
    <w:r w:rsidR="001E2227">
      <w:rPr>
        <w:sz w:val="16"/>
        <w:szCs w:val="16"/>
      </w:rPr>
      <w:t>a</w:t>
    </w:r>
    <w:r w:rsidR="00D634D5">
      <w:rPr>
        <w:sz w:val="16"/>
        <w:szCs w:val="16"/>
      </w:rPr>
      <w:t xml:space="preserve"> company registered in England and Wales, number </w:t>
    </w:r>
    <w:r w:rsidR="00831EA4" w:rsidRPr="00831EA4">
      <w:rPr>
        <w:sz w:val="16"/>
        <w:szCs w:val="16"/>
      </w:rPr>
      <w:t>01969442</w:t>
    </w:r>
    <w:r w:rsidR="00D7308B">
      <w:rPr>
        <w:sz w:val="16"/>
        <w:szCs w:val="16"/>
      </w:rPr>
      <w:t>.</w:t>
    </w:r>
  </w:p>
  <w:p w14:paraId="670D9AC6" w14:textId="3E9D45C8" w:rsidR="00D634D5" w:rsidRDefault="00D7308B" w:rsidP="00D7308B">
    <w:pPr>
      <w:pStyle w:val="Footer"/>
      <w:jc w:val="center"/>
      <w:rPr>
        <w:sz w:val="16"/>
        <w:szCs w:val="16"/>
      </w:rPr>
    </w:pPr>
    <w:r>
      <w:rPr>
        <w:sz w:val="16"/>
        <w:szCs w:val="16"/>
      </w:rPr>
      <w:t>Registered office and b</w:t>
    </w:r>
    <w:r w:rsidR="00831EA4">
      <w:rPr>
        <w:sz w:val="16"/>
        <w:szCs w:val="16"/>
      </w:rPr>
      <w:t>usiness</w:t>
    </w:r>
    <w:r w:rsidR="00D634D5">
      <w:rPr>
        <w:sz w:val="16"/>
        <w:szCs w:val="16"/>
      </w:rPr>
      <w:t xml:space="preserve"> address</w:t>
    </w:r>
    <w:r>
      <w:rPr>
        <w:sz w:val="16"/>
        <w:szCs w:val="16"/>
      </w:rPr>
      <w:t xml:space="preserve"> -</w:t>
    </w:r>
    <w:r w:rsidR="00D634D5">
      <w:rPr>
        <w:sz w:val="16"/>
        <w:szCs w:val="16"/>
      </w:rPr>
      <w:t xml:space="preserve"> </w:t>
    </w:r>
    <w:bookmarkStart w:id="16" w:name="OLE_LINK1"/>
    <w:bookmarkStart w:id="17" w:name="OLE_LINK2"/>
    <w:bookmarkStart w:id="18" w:name="OLE_LINK3"/>
    <w:bookmarkStart w:id="19" w:name="OLE_LINK4"/>
    <w:bookmarkStart w:id="20" w:name="OLE_LINK5"/>
    <w:r w:rsidR="00831EA4" w:rsidRPr="00831EA4">
      <w:rPr>
        <w:sz w:val="16"/>
        <w:szCs w:val="16"/>
      </w:rPr>
      <w:t>Jackson House, 18 Savile Row</w:t>
    </w:r>
    <w:r w:rsidR="00831EA4">
      <w:rPr>
        <w:sz w:val="16"/>
        <w:szCs w:val="16"/>
      </w:rPr>
      <w:t xml:space="preserve">, </w:t>
    </w:r>
    <w:r w:rsidR="00831EA4" w:rsidRPr="00831EA4">
      <w:rPr>
        <w:sz w:val="16"/>
        <w:szCs w:val="16"/>
      </w:rPr>
      <w:t>London</w:t>
    </w:r>
    <w:r w:rsidR="00831EA4">
      <w:rPr>
        <w:sz w:val="16"/>
        <w:szCs w:val="16"/>
      </w:rPr>
      <w:t>,</w:t>
    </w:r>
    <w:r w:rsidR="00831EA4" w:rsidRPr="00831EA4">
      <w:rPr>
        <w:sz w:val="16"/>
        <w:szCs w:val="16"/>
      </w:rPr>
      <w:t xml:space="preserve"> W1S 3PW</w:t>
    </w:r>
    <w:r w:rsidR="00D634D5">
      <w:rPr>
        <w:sz w:val="16"/>
        <w:szCs w:val="16"/>
      </w:rPr>
      <w:t>, United Kingdom.</w:t>
    </w:r>
    <w:bookmarkEnd w:id="16"/>
    <w:bookmarkEnd w:id="17"/>
    <w:bookmarkEnd w:id="18"/>
    <w:bookmarkEnd w:id="19"/>
    <w:bookmarkEnd w:id="20"/>
  </w:p>
  <w:p w14:paraId="46FAACD5" w14:textId="6A2A3C9D" w:rsidR="00E010CB" w:rsidRDefault="00E010CB" w:rsidP="00D7308B">
    <w:pPr>
      <w:pStyle w:val="Footer"/>
      <w:jc w:val="center"/>
    </w:pPr>
    <w:r>
      <w:rPr>
        <w:sz w:val="16"/>
        <w:szCs w:val="16"/>
      </w:rPr>
      <w:t>Authorised and regulated by the Financial Conduct Authority</w:t>
    </w:r>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9A82" w14:textId="77777777" w:rsidR="00970D4F" w:rsidRDefault="0097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C9EE8" w14:textId="77777777" w:rsidR="007236E4" w:rsidRDefault="007236E4" w:rsidP="00084D2D">
      <w:r>
        <w:separator/>
      </w:r>
    </w:p>
  </w:footnote>
  <w:footnote w:type="continuationSeparator" w:id="0">
    <w:p w14:paraId="6FFE20AD" w14:textId="77777777" w:rsidR="007236E4" w:rsidRDefault="007236E4" w:rsidP="0008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99A7" w14:textId="77777777" w:rsidR="00970D4F" w:rsidRDefault="00970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65A6" w14:textId="5246C4DD" w:rsidR="00D634D5" w:rsidRDefault="008A0D80" w:rsidP="00970D4F">
    <w:pPr>
      <w:pStyle w:val="Header"/>
      <w:tabs>
        <w:tab w:val="clear" w:pos="4320"/>
        <w:tab w:val="clear" w:pos="8640"/>
        <w:tab w:val="left" w:pos="6990"/>
      </w:tabs>
    </w:pPr>
    <w:bookmarkStart w:id="0" w:name="_Hlk25311165"/>
    <w:bookmarkStart w:id="1" w:name="_Hlk25311166"/>
    <w:bookmarkStart w:id="2" w:name="_Hlk25311169"/>
    <w:bookmarkStart w:id="3" w:name="_Hlk25311170"/>
    <w:bookmarkStart w:id="4" w:name="_Hlk25311182"/>
    <w:bookmarkStart w:id="5" w:name="_Hlk25311183"/>
    <w:bookmarkStart w:id="6" w:name="_Hlk25311191"/>
    <w:bookmarkStart w:id="7" w:name="_Hlk25311192"/>
    <w:r>
      <w:rPr>
        <w:noProof/>
        <w:lang w:eastAsia="en-GB"/>
      </w:rPr>
      <w:drawing>
        <wp:anchor distT="0" distB="0" distL="114300" distR="114300" simplePos="0" relativeHeight="251658240" behindDoc="0" locked="0" layoutInCell="1" allowOverlap="1" wp14:anchorId="13887AA6" wp14:editId="3253E47D">
          <wp:simplePos x="0" y="0"/>
          <wp:positionH relativeFrom="column">
            <wp:posOffset>-200025</wp:posOffset>
          </wp:positionH>
          <wp:positionV relativeFrom="paragraph">
            <wp:posOffset>-182880</wp:posOffset>
          </wp:positionV>
          <wp:extent cx="7056755" cy="483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2:works2:Destek Markets:Brand Identity:letterhead:assets:destekmarkets_letterhead_PRINT_v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6755" cy="483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70D4F">
      <w:tab/>
    </w:r>
  </w:p>
  <w:bookmarkEnd w:id="0"/>
  <w:bookmarkEnd w:id="1"/>
  <w:bookmarkEnd w:id="2"/>
  <w:bookmarkEnd w:id="3"/>
  <w:bookmarkEnd w:id="4"/>
  <w:bookmarkEnd w:id="5"/>
  <w:bookmarkEnd w:id="6"/>
  <w:bookmarkEnd w:id="7"/>
  <w:p w14:paraId="600B6C1E" w14:textId="77777777" w:rsidR="00192B2E" w:rsidRDefault="00192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26AF" w14:textId="77777777" w:rsidR="00970D4F" w:rsidRDefault="0097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B7C63"/>
    <w:multiLevelType w:val="hybridMultilevel"/>
    <w:tmpl w:val="AB0A31A8"/>
    <w:lvl w:ilvl="0" w:tplc="64D0FDBA">
      <w:start w:val="1"/>
      <w:numFmt w:val="decimal"/>
      <w:lvlText w:val="%1."/>
      <w:lvlJc w:val="left"/>
      <w:pPr>
        <w:ind w:left="405" w:hanging="360"/>
      </w:pPr>
      <w:rPr>
        <w:rFonts w:asciiTheme="minorHAnsi" w:hAnsiTheme="minorHAnsi" w:hint="default"/>
        <w:color w:val="C00000"/>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6CFC5080"/>
    <w:multiLevelType w:val="hybridMultilevel"/>
    <w:tmpl w:val="5EA43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572C3"/>
    <w:multiLevelType w:val="hybridMultilevel"/>
    <w:tmpl w:val="1042FD04"/>
    <w:lvl w:ilvl="0" w:tplc="447A7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0E0A"/>
    <w:multiLevelType w:val="hybridMultilevel"/>
    <w:tmpl w:val="06F43B5C"/>
    <w:lvl w:ilvl="0" w:tplc="FA04FD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3C"/>
    <w:rsid w:val="00017946"/>
    <w:rsid w:val="0002011F"/>
    <w:rsid w:val="00084D2D"/>
    <w:rsid w:val="000A1823"/>
    <w:rsid w:val="000A51FE"/>
    <w:rsid w:val="00192B2E"/>
    <w:rsid w:val="0019673C"/>
    <w:rsid w:val="001E00B3"/>
    <w:rsid w:val="001E2227"/>
    <w:rsid w:val="002A69B8"/>
    <w:rsid w:val="002B6937"/>
    <w:rsid w:val="002E5AB4"/>
    <w:rsid w:val="00313D06"/>
    <w:rsid w:val="00366D93"/>
    <w:rsid w:val="003D34F0"/>
    <w:rsid w:val="00436424"/>
    <w:rsid w:val="0047038A"/>
    <w:rsid w:val="00484672"/>
    <w:rsid w:val="00486A6E"/>
    <w:rsid w:val="004A013D"/>
    <w:rsid w:val="004A48F0"/>
    <w:rsid w:val="0050723D"/>
    <w:rsid w:val="00507256"/>
    <w:rsid w:val="00572FDF"/>
    <w:rsid w:val="00582AA4"/>
    <w:rsid w:val="005D4043"/>
    <w:rsid w:val="00601569"/>
    <w:rsid w:val="00610D9A"/>
    <w:rsid w:val="00623E04"/>
    <w:rsid w:val="00640072"/>
    <w:rsid w:val="00653B2C"/>
    <w:rsid w:val="00654A2A"/>
    <w:rsid w:val="00706F43"/>
    <w:rsid w:val="007236E4"/>
    <w:rsid w:val="007F5B39"/>
    <w:rsid w:val="008276BB"/>
    <w:rsid w:val="00831EA4"/>
    <w:rsid w:val="00837E78"/>
    <w:rsid w:val="00854437"/>
    <w:rsid w:val="00893DBE"/>
    <w:rsid w:val="008A0D80"/>
    <w:rsid w:val="008E6A0A"/>
    <w:rsid w:val="008F3064"/>
    <w:rsid w:val="00921B42"/>
    <w:rsid w:val="00970D4F"/>
    <w:rsid w:val="009C29CC"/>
    <w:rsid w:val="00A10703"/>
    <w:rsid w:val="00A12A50"/>
    <w:rsid w:val="00A57D04"/>
    <w:rsid w:val="00AB26B7"/>
    <w:rsid w:val="00AD16F7"/>
    <w:rsid w:val="00B06605"/>
    <w:rsid w:val="00B5571E"/>
    <w:rsid w:val="00B83C72"/>
    <w:rsid w:val="00BB5B52"/>
    <w:rsid w:val="00BF12A9"/>
    <w:rsid w:val="00BF314E"/>
    <w:rsid w:val="00C74B20"/>
    <w:rsid w:val="00CC005D"/>
    <w:rsid w:val="00D2750F"/>
    <w:rsid w:val="00D3216B"/>
    <w:rsid w:val="00D634D5"/>
    <w:rsid w:val="00D7308B"/>
    <w:rsid w:val="00E010CB"/>
    <w:rsid w:val="00E4448B"/>
    <w:rsid w:val="00E8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EA140"/>
  <w14:defaultImageDpi w14:val="300"/>
  <w15:docId w15:val="{F31E1B6A-B693-44A8-A0FC-426915F9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3C"/>
    <w:pPr>
      <w:jc w:val="both"/>
    </w:pPr>
    <w:rPr>
      <w:rFonts w:ascii="Calibri" w:eastAsia="Times New Roman" w:hAnsi="Calibri" w:cs="Times New Roman"/>
      <w:sz w:val="22"/>
      <w:lang w:val="en-GB"/>
    </w:rPr>
  </w:style>
  <w:style w:type="paragraph" w:styleId="Heading1">
    <w:name w:val="heading 1"/>
    <w:basedOn w:val="Normal"/>
    <w:next w:val="Normal"/>
    <w:link w:val="Heading1Char"/>
    <w:qFormat/>
    <w:rsid w:val="0019673C"/>
    <w:pPr>
      <w:keepNext/>
      <w:keepLines/>
      <w:spacing w:before="480" w:line="360" w:lineRule="exact"/>
      <w:jc w:val="left"/>
      <w:outlineLvl w:val="0"/>
    </w:pPr>
    <w:rPr>
      <w:rFonts w:asciiTheme="minorHAnsi" w:eastAsiaTheme="majorEastAsia" w:hAnsiTheme="minorHAnsi" w:cstheme="majorBidi"/>
      <w:b/>
      <w:bCs/>
      <w:color w:val="C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D2D"/>
    <w:pPr>
      <w:tabs>
        <w:tab w:val="center" w:pos="4320"/>
        <w:tab w:val="right" w:pos="8640"/>
      </w:tabs>
    </w:pPr>
  </w:style>
  <w:style w:type="character" w:customStyle="1" w:styleId="HeaderChar">
    <w:name w:val="Header Char"/>
    <w:basedOn w:val="DefaultParagraphFont"/>
    <w:link w:val="Header"/>
    <w:uiPriority w:val="99"/>
    <w:rsid w:val="00084D2D"/>
  </w:style>
  <w:style w:type="paragraph" w:styleId="Footer">
    <w:name w:val="footer"/>
    <w:basedOn w:val="Normal"/>
    <w:link w:val="FooterChar"/>
    <w:uiPriority w:val="99"/>
    <w:unhideWhenUsed/>
    <w:rsid w:val="00084D2D"/>
    <w:pPr>
      <w:tabs>
        <w:tab w:val="center" w:pos="4320"/>
        <w:tab w:val="right" w:pos="8640"/>
      </w:tabs>
    </w:pPr>
  </w:style>
  <w:style w:type="character" w:customStyle="1" w:styleId="FooterChar">
    <w:name w:val="Footer Char"/>
    <w:basedOn w:val="DefaultParagraphFont"/>
    <w:link w:val="Footer"/>
    <w:uiPriority w:val="99"/>
    <w:rsid w:val="00084D2D"/>
  </w:style>
  <w:style w:type="paragraph" w:styleId="BalloonText">
    <w:name w:val="Balloon Text"/>
    <w:basedOn w:val="Normal"/>
    <w:link w:val="BalloonTextChar"/>
    <w:uiPriority w:val="99"/>
    <w:semiHidden/>
    <w:unhideWhenUsed/>
    <w:rsid w:val="00084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2D"/>
    <w:rPr>
      <w:rFonts w:ascii="Lucida Grande" w:hAnsi="Lucida Grande" w:cs="Lucida Grande"/>
      <w:sz w:val="18"/>
      <w:szCs w:val="18"/>
    </w:rPr>
  </w:style>
  <w:style w:type="character" w:customStyle="1" w:styleId="Heading1Char">
    <w:name w:val="Heading 1 Char"/>
    <w:basedOn w:val="DefaultParagraphFont"/>
    <w:link w:val="Heading1"/>
    <w:rsid w:val="0019673C"/>
    <w:rPr>
      <w:rFonts w:eastAsiaTheme="majorEastAsia" w:cstheme="majorBidi"/>
      <w:b/>
      <w:bCs/>
      <w:color w:val="C00000"/>
      <w:sz w:val="32"/>
      <w:szCs w:val="28"/>
      <w:lang w:val="en-GB"/>
    </w:rPr>
  </w:style>
  <w:style w:type="paragraph" w:styleId="Title">
    <w:name w:val="Title"/>
    <w:basedOn w:val="Normal"/>
    <w:next w:val="Normal"/>
    <w:link w:val="TitleChar"/>
    <w:uiPriority w:val="10"/>
    <w:qFormat/>
    <w:rsid w:val="0019673C"/>
    <w:pPr>
      <w:pageBreakBefore/>
      <w:pBdr>
        <w:bottom w:val="single" w:sz="8" w:space="4" w:color="000000" w:themeColor="text1"/>
      </w:pBdr>
      <w:spacing w:after="300" w:line="480" w:lineRule="exact"/>
      <w:contextualSpacing/>
      <w:jc w:val="left"/>
    </w:pPr>
    <w:rPr>
      <w:rFonts w:asciiTheme="minorHAnsi" w:eastAsiaTheme="majorEastAsia" w:hAnsiTheme="minorHAnsi" w:cstheme="majorBidi"/>
      <w:b/>
      <w:color w:val="C00000"/>
      <w:spacing w:val="5"/>
      <w:kern w:val="28"/>
      <w:sz w:val="48"/>
      <w:szCs w:val="52"/>
    </w:rPr>
  </w:style>
  <w:style w:type="character" w:customStyle="1" w:styleId="TitleChar">
    <w:name w:val="Title Char"/>
    <w:basedOn w:val="DefaultParagraphFont"/>
    <w:link w:val="Title"/>
    <w:uiPriority w:val="10"/>
    <w:rsid w:val="0019673C"/>
    <w:rPr>
      <w:rFonts w:eastAsiaTheme="majorEastAsia" w:cstheme="majorBidi"/>
      <w:b/>
      <w:color w:val="C00000"/>
      <w:spacing w:val="5"/>
      <w:kern w:val="28"/>
      <w:sz w:val="48"/>
      <w:szCs w:val="52"/>
      <w:lang w:val="en-GB"/>
    </w:rPr>
  </w:style>
  <w:style w:type="paragraph" w:styleId="ListParagraph">
    <w:name w:val="List Paragraph"/>
    <w:basedOn w:val="Normal"/>
    <w:uiPriority w:val="34"/>
    <w:qFormat/>
    <w:rsid w:val="0019673C"/>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1967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4D5"/>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7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oosey\AppData\Local\Microsoft\Windows\Temporary%20Internet%20Files\Content.Outlook\21QGZRPS\destekmarkets_letterhead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destekmarkets_letterhead_v2</Template>
  <TotalTime>0</TotalTime>
  <Pages>14</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Version1.1   27.06.2017</vt:lpstr>
    </vt:vector>
  </TitlesOfParts>
  <Company>MIRT MIRT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Version1.1   27.06.2017</dc:title>
  <dc:subject/>
  <dc:creator>Marie Boosey</dc:creator>
  <cp:keywords/>
  <dc:description/>
  <cp:lastModifiedBy>Laurence Crosby</cp:lastModifiedBy>
  <cp:revision>2</cp:revision>
  <cp:lastPrinted>2017-06-26T10:00:00Z</cp:lastPrinted>
  <dcterms:created xsi:type="dcterms:W3CDTF">2020-06-26T16:20:00Z</dcterms:created>
  <dcterms:modified xsi:type="dcterms:W3CDTF">2020-06-26T16:20:00Z</dcterms:modified>
</cp:coreProperties>
</file>